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bidi w:val="0"/>
        <w:spacing w:lineRule="auto" w:line="276" w:before="0" w:after="200"/>
        <w:jc w:val="left"/>
        <w:rPr/>
      </w:pPr>
      <w:r>
        <w:rPr>
          <w:rFonts w:ascii="Calibri" w:hAnsi="Calibri"/>
          <w:sz w:val="22"/>
          <w:lang w:val="en-US"/>
        </w:rPr>
        <w:t>PRESS RELEASE CLAIMANTS VS ECI DEVELOPMENTS / GRAN PACIFICA</w:t>
      </w:r>
    </w:p>
    <w:p>
      <w:pPr>
        <w:pStyle w:val="Normal"/>
        <w:bidi w:val="0"/>
        <w:spacing w:lineRule="auto" w:line="276" w:before="0" w:after="200"/>
        <w:jc w:val="left"/>
        <w:rPr>
          <w:rFonts w:ascii="Calibri" w:hAnsi="Calibri"/>
          <w:sz w:val="22"/>
          <w:lang w:val="en-US"/>
        </w:rPr>
      </w:pPr>
      <w:r>
        <w:rPr>
          <w:rFonts w:ascii="Calibri" w:hAnsi="Calibri"/>
          <w:sz w:val="22"/>
          <w:lang w:val="en-US"/>
        </w:rPr>
      </w:r>
    </w:p>
    <w:p>
      <w:pPr>
        <w:pStyle w:val="Normal"/>
        <w:bidi w:val="0"/>
        <w:spacing w:lineRule="auto" w:line="276" w:before="0" w:after="200"/>
        <w:jc w:val="left"/>
        <w:rPr/>
      </w:pPr>
      <w:r>
        <w:rPr>
          <w:rFonts w:ascii="Calibri" w:hAnsi="Calibri"/>
          <w:sz w:val="22"/>
          <w:lang w:val="en-US"/>
        </w:rPr>
        <w:t xml:space="preserve">April 24, 2025 /PRNewswire/ -- Marelaw LLP notifies home owners who purchased homes in Gran Pacifica Nicaragua of a class action lawsuit concerning </w:t>
      </w:r>
      <w:r>
        <w:rPr>
          <w:rFonts w:ascii="Calibri" w:hAnsi="Calibri"/>
          <w:sz w:val="22"/>
          <w:lang w:val="en-US"/>
        </w:rPr>
        <w:t>undeliverables,</w:t>
      </w:r>
      <w:r>
        <w:rPr>
          <w:rFonts w:ascii="Calibri" w:hAnsi="Calibri"/>
          <w:sz w:val="22"/>
          <w:lang w:val="en-US"/>
        </w:rPr>
        <w:t xml:space="preserve"> the engineering, and safety of the homes in the Gran Pacifica EVA community.</w:t>
      </w:r>
    </w:p>
    <w:p>
      <w:pPr>
        <w:pStyle w:val="Normal"/>
        <w:bidi w:val="0"/>
        <w:spacing w:lineRule="auto" w:line="276" w:before="0" w:after="200"/>
        <w:jc w:val="left"/>
        <w:rPr/>
      </w:pPr>
      <w:r>
        <w:rPr>
          <w:rFonts w:ascii="Calibri" w:hAnsi="Calibri"/>
          <w:sz w:val="22"/>
          <w:lang w:val="en-US"/>
        </w:rPr>
        <w:t xml:space="preserve">CLASS DEFINITION: The lawsuit seeks to recover losses on behalf of </w:t>
      </w:r>
      <w:r>
        <w:rPr>
          <w:rFonts w:ascii="Calibri" w:hAnsi="Calibri"/>
          <w:sz w:val="22"/>
          <w:lang w:val="en-US"/>
        </w:rPr>
        <w:t>h</w:t>
      </w:r>
      <w:r>
        <w:rPr>
          <w:rFonts w:ascii="Calibri" w:hAnsi="Calibri"/>
          <w:sz w:val="22"/>
          <w:lang w:val="en-US"/>
        </w:rPr>
        <w:t xml:space="preserve">ome </w:t>
      </w:r>
      <w:r>
        <w:rPr>
          <w:rFonts w:ascii="Calibri" w:hAnsi="Calibri"/>
          <w:sz w:val="22"/>
          <w:lang w:val="en-US"/>
        </w:rPr>
        <w:t>o</w:t>
      </w:r>
      <w:r>
        <w:rPr>
          <w:rFonts w:ascii="Calibri" w:hAnsi="Calibri"/>
          <w:sz w:val="22"/>
          <w:lang w:val="en-US"/>
        </w:rPr>
        <w:t>wners  who were adversely affected by improperly engineered electrical systems, as well as items promised and undelievered to purchasers. The alleged fraud has happened between January 25, 2020 and April 25, 2024.</w:t>
      </w:r>
    </w:p>
    <w:p>
      <w:pPr>
        <w:pStyle w:val="Normal"/>
        <w:bidi w:val="0"/>
        <w:spacing w:lineRule="auto" w:line="276" w:before="0" w:after="200"/>
        <w:jc w:val="left"/>
        <w:rPr>
          <w:rFonts w:ascii="Calibri" w:hAnsi="Calibri"/>
          <w:sz w:val="22"/>
          <w:lang w:val="en-US"/>
        </w:rPr>
      </w:pPr>
      <w:r>
        <w:rPr/>
      </w:r>
    </w:p>
    <w:p>
      <w:pPr>
        <w:pStyle w:val="Normal"/>
        <w:bidi w:val="0"/>
        <w:spacing w:lineRule="auto" w:line="276" w:before="0" w:after="200"/>
        <w:jc w:val="left"/>
        <w:rPr/>
      </w:pPr>
      <w:r>
        <w:rPr>
          <w:rFonts w:ascii="Calibri" w:hAnsi="Calibri"/>
          <w:sz w:val="22"/>
          <w:lang w:val="en-US"/>
        </w:rPr>
        <w:t xml:space="preserve">CASE DETAILS: The complaint alleges that defendants made false statements and/or concealed that: (1) the homes would include items such as a green roof, and grey water system, which were actively advertised and went undelivered. </w:t>
      </w:r>
      <w:r>
        <w:rPr>
          <w:rFonts w:ascii="Calibri" w:hAnsi="Calibri"/>
          <w:sz w:val="22"/>
          <w:lang w:val="en-US"/>
        </w:rPr>
        <w:t>(2) a</w:t>
      </w:r>
      <w:r>
        <w:rPr>
          <w:rFonts w:ascii="Calibri" w:hAnsi="Calibri"/>
          <w:sz w:val="22"/>
          <w:lang w:val="en-US"/>
        </w:rPr>
        <w:t xml:space="preserve">lternative products installed such as outdoor tiles are slippery </w:t>
      </w:r>
      <w:r>
        <w:rPr>
          <w:rFonts w:ascii="Calibri" w:hAnsi="Calibri"/>
          <w:sz w:val="22"/>
          <w:lang w:val="en-US"/>
        </w:rPr>
        <w:t xml:space="preserve">when wet, </w:t>
      </w:r>
      <w:r>
        <w:rPr>
          <w:rFonts w:ascii="Calibri" w:hAnsi="Calibri"/>
          <w:sz w:val="22"/>
          <w:lang w:val="en-US"/>
        </w:rPr>
        <w:t>and hazardous,  interior paint was used on the exterior of the home walls causing significant mould introduction into the home (</w:t>
      </w:r>
      <w:r>
        <w:rPr>
          <w:rFonts w:ascii="Calibri" w:hAnsi="Calibri"/>
          <w:sz w:val="22"/>
          <w:lang w:val="en-US"/>
        </w:rPr>
        <w:t>3</w:t>
      </w:r>
      <w:r>
        <w:rPr>
          <w:rFonts w:ascii="Calibri" w:hAnsi="Calibri"/>
          <w:sz w:val="22"/>
          <w:lang w:val="en-US"/>
        </w:rPr>
        <w:t>) the electrical system in the homes were designed poorly, without qualified engineering, causing fire, system failure, electronics failure within the house, wiring failure, and is potentially hazardous to the in habitants and renters causing significant personal and operating losses; (</w:t>
      </w:r>
      <w:r>
        <w:rPr>
          <w:rFonts w:ascii="Calibri" w:hAnsi="Calibri"/>
          <w:sz w:val="22"/>
          <w:lang w:val="en-US"/>
        </w:rPr>
        <w:t>4</w:t>
      </w:r>
      <w:r>
        <w:rPr>
          <w:rFonts w:ascii="Calibri" w:hAnsi="Calibri"/>
          <w:sz w:val="22"/>
          <w:lang w:val="en-US"/>
        </w:rPr>
        <w:t>) the home owners who were renting experienced a decline in rental profit driven by system failures, as well as significant incoinvenience; (</w:t>
      </w:r>
      <w:r>
        <w:rPr>
          <w:rFonts w:ascii="Calibri" w:hAnsi="Calibri"/>
          <w:sz w:val="22"/>
          <w:lang w:val="en-US"/>
        </w:rPr>
        <w:t>5</w:t>
      </w:r>
      <w:r>
        <w:rPr>
          <w:rFonts w:ascii="Calibri" w:hAnsi="Calibri"/>
          <w:sz w:val="22"/>
          <w:lang w:val="en-US"/>
        </w:rPr>
        <w:t>) as a result the business model is failing as a profit driven investment for home purchasers, and is directly causing issues in regards to revenue return based on the Company's rental and resort strategy; and (</w:t>
      </w:r>
      <w:r>
        <w:rPr>
          <w:rFonts w:ascii="Calibri" w:hAnsi="Calibri"/>
          <w:sz w:val="22"/>
          <w:lang w:val="en-US"/>
        </w:rPr>
        <w:t>6</w:t>
      </w:r>
      <w:r>
        <w:rPr>
          <w:rFonts w:ascii="Calibri" w:hAnsi="Calibri"/>
          <w:sz w:val="22"/>
          <w:lang w:val="en-US"/>
        </w:rPr>
        <w:t>) as a result of the foregoing, defendants' positive statements about the Company's business, operations, and prospects were materially misleading and/or lacked a reasonable basis.</w:t>
      </w:r>
    </w:p>
    <w:p>
      <w:pPr>
        <w:pStyle w:val="Normal"/>
        <w:bidi w:val="0"/>
        <w:spacing w:lineRule="auto" w:line="276" w:before="0" w:after="200"/>
        <w:jc w:val="left"/>
        <w:rPr>
          <w:rFonts w:ascii="Calibri" w:hAnsi="Calibri"/>
          <w:sz w:val="22"/>
          <w:lang w:val="en-US"/>
        </w:rPr>
      </w:pPr>
      <w:r>
        <w:rPr/>
      </w:r>
    </w:p>
    <w:p>
      <w:pPr>
        <w:pStyle w:val="Normal"/>
        <w:bidi w:val="0"/>
        <w:spacing w:lineRule="auto" w:line="276" w:before="0" w:after="200"/>
        <w:jc w:val="left"/>
        <w:rPr/>
      </w:pPr>
      <w:r>
        <w:rPr>
          <w:rFonts w:ascii="Calibri" w:hAnsi="Calibri"/>
          <w:sz w:val="22"/>
          <w:lang w:val="en-US"/>
        </w:rPr>
        <w:t xml:space="preserve">WHAT'S NEXT? If you purchased an EVA home, or if you have suffered a loss due to a purchase of an EVA home in Gran Pacifica during the relevant time frame, you have until Feb 2, 2024 to contact us to request that the Court appoint you as a lead plaintiff. Your ability to share in any recovery does </w:t>
      </w:r>
      <w:r>
        <w:rPr>
          <w:rFonts w:ascii="Calibri" w:hAnsi="Calibri"/>
          <w:sz w:val="22"/>
          <w:lang w:val="en-US"/>
        </w:rPr>
        <w:t>note</w:t>
      </w:r>
      <w:r>
        <w:rPr>
          <w:rFonts w:ascii="Calibri" w:hAnsi="Calibri"/>
          <w:sz w:val="22"/>
          <w:lang w:val="en-US"/>
        </w:rPr>
        <w:t xml:space="preserve"> require that you serve as a lead plaintiff.</w:t>
      </w:r>
    </w:p>
    <w:p>
      <w:pPr>
        <w:pStyle w:val="Normal"/>
        <w:bidi w:val="0"/>
        <w:spacing w:lineRule="auto" w:line="276" w:before="0" w:after="200"/>
        <w:jc w:val="left"/>
        <w:rPr>
          <w:rFonts w:ascii="Calibri" w:hAnsi="Calibri"/>
          <w:sz w:val="22"/>
          <w:lang w:val="en-US"/>
        </w:rPr>
      </w:pPr>
      <w:r>
        <w:rPr/>
      </w:r>
    </w:p>
    <w:p>
      <w:pPr>
        <w:pStyle w:val="Normal"/>
        <w:bidi w:val="0"/>
        <w:spacing w:lineRule="auto" w:line="276" w:before="0" w:after="200"/>
        <w:jc w:val="left"/>
        <w:rPr/>
      </w:pPr>
      <w:r>
        <w:rPr>
          <w:rFonts w:ascii="Calibri" w:hAnsi="Calibri"/>
          <w:sz w:val="22"/>
          <w:lang w:val="en-US"/>
        </w:rPr>
        <w:t xml:space="preserve">Individuals who may have been affected by this are welcome to email. </w:t>
      </w:r>
    </w:p>
    <w:p>
      <w:pPr>
        <w:pStyle w:val="Normal"/>
        <w:bidi w:val="0"/>
        <w:spacing w:lineRule="auto" w:line="276" w:before="0" w:after="200"/>
        <w:jc w:val="left"/>
        <w:rPr/>
      </w:pPr>
      <w:r>
        <w:rPr>
          <w:rFonts w:ascii="Calibri" w:hAnsi="Calibri"/>
          <w:sz w:val="22"/>
          <w:lang w:val="en-US"/>
        </w:rPr>
        <w:t>lawsuit@eci-investors.com</w:t>
      </w:r>
    </w:p>
    <w:p>
      <w:pPr>
        <w:pStyle w:val="Normal"/>
        <w:bidi w:val="0"/>
        <w:spacing w:lineRule="auto" w:line="276" w:before="0" w:after="200"/>
        <w:jc w:val="left"/>
        <w:rPr/>
      </w:pPr>
      <w:r>
        <w:rPr>
          <w:rFonts w:ascii="Calibri" w:hAnsi="Calibri"/>
          <w:sz w:val="22"/>
          <w:lang w:val="en-US"/>
        </w:rPr>
        <w:t>Potentially affected individuals have until May 16</w:t>
      </w:r>
      <w:r>
        <w:rPr>
          <w:rFonts w:ascii="Calibri" w:hAnsi="Calibri"/>
          <w:sz w:val="22"/>
          <w:vertAlign w:val="superscript"/>
          <w:lang w:val="en-US"/>
        </w:rPr>
        <w:t>th</w:t>
      </w:r>
      <w:r>
        <w:rPr>
          <w:rFonts w:ascii="Calibri" w:hAnsi="Calibri"/>
          <w:sz w:val="22"/>
          <w:lang w:val="en-US"/>
        </w:rPr>
        <w:t xml:space="preserve"> 2025 to contact us and join the action.</w:t>
      </w:r>
    </w:p>
    <w:sectPr>
      <w:type w:val="nextPage"/>
      <w:pgSz w:w="12240" w:h="15840"/>
      <w:pgMar w:left="1134" w:right="1134" w:gutter="0" w:header="0" w:top="1134" w:footer="0" w:bottom="1134"/>
      <w:pgNumType w:fmt="decimal"/>
      <w:formProt w:val="false"/>
      <w:textDirection w:val="lrTb"/>
      <w:docGrid w:type="default" w:linePitch="312"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Liberation Sans">
    <w:altName w:val="Arial"/>
    <w:charset w:val="00"/>
    <w:family w:val="swiss"/>
    <w:pitch w:val="variable"/>
  </w:font>
  <w:font w:name="Calibri">
    <w:charset w:val="00"/>
    <w:family w:val="roman"/>
    <w:pitch w:val="variable"/>
  </w:font>
</w:fonts>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U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Lucida Sans"/>
      <w:color w:val="auto"/>
      <w:kern w:val="2"/>
      <w:sz w:val="24"/>
      <w:szCs w:val="24"/>
      <w:lang w:val="en-US" w:eastAsia="zh-CN" w:bidi="hi-IN"/>
    </w:rPr>
  </w:style>
  <w:style w:type="paragraph" w:styleId="Heading">
    <w:name w:val="Heading"/>
    <w:basedOn w:val="Normal"/>
    <w:next w:val="TextBody"/>
    <w:qFormat/>
    <w:pPr>
      <w:keepNext w:val="true"/>
      <w:spacing w:before="240" w:after="120"/>
    </w:pPr>
    <w:rPr>
      <w:rFonts w:ascii="Liberation Sans" w:hAnsi="Liberation Sans"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lang w:val="zxx" w:eastAsia="zxx" w:bidi="zxx"/>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
  <TotalTime>8</TotalTime>
  <Application>LibreOffice/7.2.2.2$Windows_X86_64 LibreOffice_project/02b2acce88a210515b4a5bb2e46cbfb63fe97d56</Application>
  <AppVersion>15.0000</AppVersion>
  <Pages>1</Pages>
  <Words>376</Words>
  <Characters>2007</Characters>
  <CharactersWithSpaces>2378</CharactersWithSpaces>
  <Paragraphs>8</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2025-04-28T14:07:49Z</dcterms:created>
  <dc:creator/>
  <dc:description/>
  <dc:language>en-US</dc:language>
  <cp:lastModifiedBy/>
  <dcterms:modified xsi:type="dcterms:W3CDTF">2025-04-28T14:16:40Z</dcterms:modified>
  <cp:revision>1</cp:revision>
  <dc:subject/>
  <dc:title/>
</cp:coreProperties>
</file>