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Statement of Material Misrepresentation,</w:t>
      </w:r>
    </w:p>
    <w:p>
      <w:pPr>
        <w:pStyle w:val="Normal"/>
        <w:bidi w:val="0"/>
        <w:jc w:val="left"/>
        <w:rPr/>
      </w:pPr>
      <w:r>
        <w:rPr/>
        <w:t xml:space="preserve">To:  </w:t>
      </w:r>
      <w:r>
        <w:rPr>
          <w:color w:val="C9211E"/>
        </w:rPr>
        <w:t>[company names here]</w:t>
      </w:r>
      <w:r>
        <w:rPr/>
        <w:t xml:space="preserve">, </w:t>
      </w:r>
      <w:r>
        <w:rPr>
          <w:color w:val="C9211E"/>
        </w:rPr>
        <w:t>[representative names here]</w:t>
      </w:r>
      <w:r>
        <w:rPr/>
        <w:t>, individually and in any other capacity, agents, trusts, assigns,</w:t>
      </w:r>
      <w:r>
        <w:rPr/>
        <w:t xml:space="preserve"> affiliates, or entities, </w:t>
      </w:r>
      <w:r>
        <w:rPr/>
        <w:t xml:space="preserve">and all acting </w:t>
      </w:r>
      <w:r>
        <w:rPr/>
        <w:t>on the underwrittens</w:t>
      </w:r>
      <w:r>
        <w:rPr/>
        <w:t xml:space="preserve"> behalf.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The undersigned respectfully submits this notice in relation to </w:t>
      </w:r>
      <w:r>
        <w:rPr/>
        <w:t xml:space="preserve">an open investigation </w:t>
      </w:r>
      <w:r>
        <w:rPr/>
        <w:t xml:space="preserve">concerning unregistered securities issued by </w:t>
      </w:r>
      <w:r>
        <w:rPr>
          <w:color w:val="C9211E"/>
        </w:rPr>
        <w:t>[company names here]</w:t>
      </w:r>
      <w:r>
        <w:rPr/>
        <w:t xml:space="preserve"> and its affiliated entities </w:t>
      </w:r>
      <w:r>
        <w:rPr/>
        <w:t>and</w:t>
      </w:r>
      <w:r>
        <w:rPr/>
        <w:t xml:space="preserve"> hereby requests  written clarification regarding the use of </w:t>
      </w:r>
      <w:r>
        <w:rPr/>
        <w:t xml:space="preserve">the underwritten in any form or association by providing all </w:t>
      </w:r>
      <w:r>
        <w:rPr/>
        <w:t xml:space="preserve">documentation in relation, </w:t>
      </w:r>
      <w:r>
        <w:rPr/>
        <w:t>or association</w:t>
      </w:r>
      <w:r>
        <w:rPr/>
        <w:t xml:space="preserve"> </w:t>
      </w:r>
      <w:r>
        <w:rPr/>
        <w:t>with</w:t>
      </w:r>
      <w:r>
        <w:rPr/>
        <w:t xml:space="preserve"> undersigned</w:t>
      </w:r>
      <w:r>
        <w:rPr/>
        <w:t xml:space="preserve"> </w:t>
      </w:r>
      <w:r>
        <w:rPr/>
        <w:t>in re</w:t>
      </w:r>
      <w:r>
        <w:rPr/>
        <w:t>guards</w:t>
      </w:r>
      <w:r>
        <w:rPr/>
        <w:t xml:space="preserve"> to holdings, securities, assets, or otherwise </w:t>
      </w:r>
      <w:r>
        <w:rPr/>
        <w:t>acting on the underwrittens behalf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 xml:space="preserve">New evidence has emerged indicating that the securities in question were legitimized through reliance on a forged Belize Trust instrument, </w:t>
      </w:r>
      <w:r>
        <w:rPr/>
        <w:t xml:space="preserve">which puts into question the legitimacy of all trust structures, private equity firms, these assets, securities, </w:t>
      </w:r>
      <w:r>
        <w:rPr/>
        <w:t xml:space="preserve">or other hidden element </w:t>
      </w:r>
      <w:r>
        <w:rPr/>
        <w:t xml:space="preserve">unknown to the </w:t>
      </w:r>
      <w:r>
        <w:rPr/>
        <w:t>underwritten</w:t>
      </w:r>
      <w:r>
        <w:rPr/>
        <w:t xml:space="preserve">. </w:t>
      </w:r>
      <w:r>
        <w:rPr/>
        <w:t>A</w:t>
      </w:r>
      <w:r>
        <w:rPr/>
        <w:t>ll</w:t>
      </w:r>
      <w:r>
        <w:rPr/>
        <w:t>igations are</w:t>
      </w:r>
      <w:r>
        <w:rPr/>
        <w:t xml:space="preserve"> that the </w:t>
      </w:r>
      <w:r>
        <w:rPr/>
        <w:t xml:space="preserve">signature was falsified under this offshore structure, trust, </w:t>
      </w:r>
      <w:r>
        <w:rPr/>
        <w:t xml:space="preserve">or other </w:t>
      </w:r>
      <w:r>
        <w:rPr/>
        <w:t xml:space="preserve">similar </w:t>
      </w:r>
      <w:r>
        <w:rPr/>
        <w:t xml:space="preserve">unknown </w:t>
      </w:r>
      <w:r>
        <w:rPr/>
        <w:t xml:space="preserve">financial, asset or </w:t>
      </w:r>
      <w:r>
        <w:rPr/>
        <w:t xml:space="preserve">investment </w:t>
      </w:r>
      <w:r>
        <w:rPr/>
        <w:t>vehicle,</w:t>
      </w:r>
      <w:r>
        <w:rPr/>
        <w:t xml:space="preserve"> </w:t>
      </w:r>
      <w:r>
        <w:rPr/>
        <w:t xml:space="preserve">which </w:t>
      </w:r>
      <w:r>
        <w:rPr/>
        <w:t>was subsequently used to justify the legitimacy of asset holdings and investor relationships within Canada.</w:t>
      </w:r>
    </w:p>
    <w:p>
      <w:pPr>
        <w:pStyle w:val="TextBody"/>
        <w:bidi w:val="0"/>
        <w:jc w:val="left"/>
        <w:rPr/>
      </w:pPr>
      <w:r>
        <w:rPr/>
        <w:t xml:space="preserve">The </w:t>
      </w:r>
      <w:r>
        <w:rPr/>
        <w:t>underwritten</w:t>
      </w:r>
      <w:r>
        <w:rPr/>
        <w:t xml:space="preserve"> was unaware of the forged documentation and concealed investment vehicle until </w:t>
      </w:r>
      <w:r>
        <w:rPr>
          <w:color w:val="C9211E"/>
        </w:rPr>
        <w:t>[todays date]</w:t>
      </w:r>
      <w:r>
        <w:rPr/>
        <w:t xml:space="preserve">. As such, the statutory limitation period is reset under the discovery rule and concealment provisions of the Limitations Act, 2002 and Criminal Code of Canada. </w:t>
      </w:r>
    </w:p>
    <w:p>
      <w:pPr>
        <w:pStyle w:val="TextBody"/>
        <w:bidi w:val="0"/>
        <w:jc w:val="left"/>
        <w:rPr/>
      </w:pPr>
      <w:r>
        <w:rPr/>
        <w:t xml:space="preserve">The </w:t>
      </w:r>
      <w:r>
        <w:rPr/>
        <w:t>evidence</w:t>
      </w:r>
      <w:r>
        <w:rPr/>
        <w:t xml:space="preserve">, without citation or verification of the underlying trust documentation, </w:t>
      </w:r>
      <w:r>
        <w:rPr/>
        <w:t xml:space="preserve">or </w:t>
      </w:r>
      <w:r>
        <w:rPr/>
        <w:t xml:space="preserve">unknown financial, asset or </w:t>
      </w:r>
      <w:r>
        <w:rPr/>
        <w:t xml:space="preserve">investment </w:t>
      </w:r>
      <w:r>
        <w:rPr/>
        <w:t>vehicle</w:t>
      </w:r>
      <w:r>
        <w:rPr/>
        <w:t xml:space="preserve">, </w:t>
      </w:r>
      <w:r>
        <w:rPr/>
        <w:t xml:space="preserve">constitutes a breach of regulatory duty and a failure to uphold the standards of securities oversight in Ontario </w:t>
      </w:r>
      <w:r>
        <w:rPr/>
        <w:t xml:space="preserve">Canada, and Belize, </w:t>
      </w:r>
      <w:r>
        <w:rPr/>
        <w:t xml:space="preserve">as well as breaches </w:t>
      </w:r>
      <w:r>
        <w:rPr/>
        <w:t>the following Legal and Obligatory Laws.</w:t>
      </w:r>
    </w:p>
    <w:p>
      <w:pPr>
        <w:pStyle w:val="TextBody"/>
        <w:bidi w:val="0"/>
        <w:jc w:val="left"/>
        <w:rPr/>
      </w:pPr>
      <w:r>
        <w:rPr/>
        <w:t>The underwritten that t</w:t>
      </w:r>
      <w:r>
        <w:rPr/>
        <w:t xml:space="preserve">he Rule of Law has been inverted </w:t>
      </w:r>
      <w:r>
        <w:rPr/>
        <w:t>into w</w:t>
      </w:r>
      <w:r>
        <w:rPr/>
        <w:t>hat was designed to protect citizens, has been weaponized to conceal fraud, launder assets, and silence dissent. This is not governance—it is organized deception under the guise of legality.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 xml:space="preserve">Legal &amp; Regulatory Breach </w:t>
      </w:r>
      <w:r>
        <w:rPr/>
        <w:t xml:space="preserve">(includes affiliated parties) </w:t>
      </w:r>
      <w:r>
        <w:rPr/>
        <w:t>(CANADIANS ONLY YOU WILL NEED TO ALTER FOR OTHER COUNTRIES)</w:t>
      </w:r>
    </w:p>
    <w:p>
      <w:pPr>
        <w:pStyle w:val="TextBody"/>
        <w:bidi w:val="0"/>
        <w:jc w:val="left"/>
        <w:rPr/>
      </w:pPr>
      <w:r>
        <w:rPr/>
        <w:t>R</w:t>
      </w:r>
      <w:r>
        <w:rPr/>
        <w:t xml:space="preserve">eliance on the forged </w:t>
      </w:r>
      <w:r>
        <w:rPr/>
        <w:t>documentation, including trusts,</w:t>
      </w:r>
      <w:r>
        <w:rPr/>
        <w:t xml:space="preserve"> violates the following principles: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>National Instrument 45-106</w:t>
      </w:r>
      <w:r>
        <w:rPr/>
        <w:t>: Exempt Distributions require accurate disclosure of beneficial ownership and control.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>OSC Rule 11-501</w:t>
      </w:r>
      <w:r>
        <w:rPr/>
        <w:t>: Electronic Delivery of Documents mandates that all submitted materials be verifiable and authentic.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>Duty of Inquiry</w:t>
      </w:r>
      <w:r>
        <w:rPr/>
        <w:t xml:space="preserve">: The </w:t>
      </w:r>
      <w:r>
        <w:rPr/>
        <w:t>Trust</w:t>
      </w:r>
      <w:r>
        <w:rPr/>
        <w:t xml:space="preserve"> is obligated to </w:t>
      </w:r>
      <w:r>
        <w:rPr/>
        <w:t>provide</w:t>
      </w:r>
      <w:r>
        <w:rPr/>
        <w:t xml:space="preserve"> material representation, especially where offshore structures are used to circumvent registration requirements.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</w:rPr>
        <w:t>Forger</w:t>
      </w:r>
      <w:r>
        <w:rPr>
          <w:rStyle w:val="StrongEmphasis"/>
        </w:rPr>
        <w:t xml:space="preserve">y – Criminal Code s.366: </w:t>
      </w:r>
      <w:r>
        <w:rPr>
          <w:rStyle w:val="Emphasis"/>
          <w:i w:val="false"/>
          <w:iCs w:val="false"/>
        </w:rPr>
        <w:t>Every one commits forgery who makes a false document, knowing it to be false, with intent that it be acted on as genuine to the prejudice of any person.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color w:val="C9211E"/>
        </w:rPr>
        <w:t>P</w:t>
      </w:r>
      <w:r>
        <w:rPr>
          <w:rStyle w:val="StrongEmphasis"/>
          <w:color w:val="C9211E"/>
        </w:rPr>
        <w:t>enalty</w:t>
      </w:r>
      <w:r>
        <w:rPr>
          <w:color w:val="C9211E"/>
        </w:rPr>
        <w:t>: Up to 10 years imprisonment if prosecuted by indictment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</w:rPr>
        <w:t>Fraud</w:t>
      </w:r>
      <w:r>
        <w:rPr>
          <w:rStyle w:val="StrongEmphasis"/>
        </w:rPr>
        <w:t xml:space="preserve"> – Criminal Code s.3</w:t>
      </w:r>
      <w:r>
        <w:rPr>
          <w:rStyle w:val="StrongEmphasis"/>
          <w:b/>
          <w:bCs/>
        </w:rPr>
        <w:t>80</w:t>
      </w:r>
      <w:r>
        <w:rPr>
          <w:rStyle w:val="StrongEmphasis"/>
        </w:rPr>
        <w:t xml:space="preserve">: </w:t>
      </w:r>
      <w:r>
        <w:rPr>
          <w:rStyle w:val="Emphasis"/>
          <w:i w:val="false"/>
          <w:iCs w:val="false"/>
        </w:rPr>
        <w:t>Misrepresentation of identity or authority, Concealment of material facts, Deprivation of property, rights, or opportunity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Penalty</w:t>
      </w:r>
      <w:r>
        <w:rPr>
          <w:color w:val="C9211E"/>
        </w:rPr>
        <w:t>: Up to 14 years imprisonment for fraud over $5,000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</w:rPr>
        <w:t>Uttering Forged Document</w:t>
      </w:r>
      <w:r>
        <w:rPr>
          <w:rStyle w:val="StrongEmphasis"/>
        </w:rPr>
        <w:t xml:space="preserve"> – Criminal Code s.3</w:t>
      </w:r>
      <w:r>
        <w:rPr>
          <w:rStyle w:val="StrongEmphasis"/>
          <w:b/>
          <w:bCs/>
        </w:rPr>
        <w:t>68</w:t>
      </w:r>
      <w:r>
        <w:rPr>
          <w:rStyle w:val="StrongEmphasis"/>
        </w:rPr>
        <w:t xml:space="preserve">: </w:t>
      </w:r>
      <w:r>
        <w:rPr>
          <w:rStyle w:val="StrongEmphasis"/>
        </w:rPr>
        <w:t>S</w:t>
      </w:r>
      <w:r>
        <w:rPr>
          <w:rStyle w:val="Emphasis"/>
          <w:i w:val="false"/>
          <w:iCs w:val="false"/>
        </w:rPr>
        <w:t>ubmitting forged contracts, trust deeds, or business filings, Presenting false documents to regulators or financial institutions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</w:t>
      </w:r>
      <w:r>
        <w:rPr>
          <w:rStyle w:val="StrongEmphasis"/>
          <w:color w:val="C9211E"/>
        </w:rPr>
        <w:t>enalty</w:t>
      </w:r>
      <w:r>
        <w:rPr>
          <w:color w:val="C9211E"/>
        </w:rPr>
        <w:t>: Up to 10 years imprisonment if prosecuted by indictment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  <w:color w:val="000000"/>
        </w:rPr>
        <w:t>Perjury</w:t>
      </w:r>
      <w:r>
        <w:rPr>
          <w:rStyle w:val="StrongEmphasis"/>
          <w:b/>
          <w:bCs/>
          <w:color w:val="000000"/>
        </w:rPr>
        <w:t xml:space="preserve">: </w:t>
      </w:r>
      <w:r>
        <w:rPr>
          <w:rStyle w:val="StrongEmphasis"/>
          <w:b/>
          <w:bCs/>
          <w:color w:val="000000"/>
        </w:rPr>
        <w:t>With intent to mislead s.131</w:t>
      </w:r>
      <w:r>
        <w:rPr>
          <w:rStyle w:val="StrongEmphasis"/>
          <w:b/>
          <w:bCs/>
          <w:color w:val="000000"/>
        </w:rPr>
        <w:t>:</w:t>
      </w:r>
      <w:r>
        <w:rPr>
          <w:rStyle w:val="StrongEmphasis"/>
          <w:b w:val="false"/>
          <w:bCs w:val="false"/>
          <w:color w:val="000000"/>
        </w:rPr>
        <w:t xml:space="preserve"> </w:t>
      </w:r>
      <w:r>
        <w:rPr>
          <w:rStyle w:val="StrongEmphasis"/>
          <w:b w:val="false"/>
          <w:bCs w:val="false"/>
          <w:color w:val="000000"/>
        </w:rPr>
        <w:t>makes before a person who is authorized by law to permit it to be made before him a false statement under oath or solemn affirmatoin, by afficavit, solemn declaration or deposition or orally, knowing the statemen is false.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Penalty</w:t>
      </w:r>
      <w:r>
        <w:rPr>
          <w:rStyle w:val="StrongEmphasis"/>
          <w:b w:val="false"/>
          <w:bCs w:val="false"/>
          <w:color w:val="C9211E"/>
        </w:rPr>
        <w:t xml:space="preserve">: Up to 14 years imprisonment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  <w:color w:val="000000"/>
        </w:rPr>
        <w:t>Fabricating evidence s.13</w:t>
      </w:r>
      <w:r>
        <w:rPr>
          <w:rStyle w:val="StrongEmphasis"/>
          <w:b/>
          <w:bCs/>
          <w:color w:val="000000"/>
        </w:rPr>
        <w:t>7</w:t>
      </w:r>
      <w:r>
        <w:rPr>
          <w:rStyle w:val="StrongEmphasis"/>
          <w:b/>
          <w:bCs/>
          <w:color w:val="000000"/>
        </w:rPr>
        <w:t>:</w:t>
      </w:r>
      <w:r>
        <w:rPr>
          <w:rStyle w:val="StrongEmphasis"/>
          <w:b w:val="false"/>
          <w:bCs w:val="false"/>
          <w:color w:val="000000"/>
        </w:rPr>
        <w:t xml:space="preserve"> </w:t>
      </w:r>
      <w:r>
        <w:rPr>
          <w:rStyle w:val="StrongEmphasis"/>
          <w:b w:val="false"/>
          <w:bCs w:val="false"/>
          <w:color w:val="000000"/>
        </w:rPr>
        <w:t>Every one who, with intent to mislead, fabricates anything with intent that it shall be used as evidence in a judicial proceeding, existing or proposed, by any means other than perjury or incitement to perjury is guilty of an indictable offence and liable to imprisonment for a term not exceeding fourteen years.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Penalty</w:t>
      </w:r>
      <w:r>
        <w:rPr>
          <w:rStyle w:val="StrongEmphasis"/>
          <w:b w:val="false"/>
          <w:bCs w:val="false"/>
          <w:color w:val="C9211E"/>
        </w:rPr>
        <w:t xml:space="preserve">: Up to 14 years imprisonment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 xml:space="preserve">Obstruction of Justice – Criminal Code s.139: </w:t>
      </w:r>
      <w:r>
        <w:rPr/>
        <w:t>Knowingly interfering with the administration of justice—by silence, omission, or misdirection.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</w:t>
      </w:r>
      <w:r>
        <w:rPr>
          <w:rStyle w:val="StrongEmphasis"/>
          <w:color w:val="C9211E"/>
        </w:rPr>
        <w:t>enalty</w:t>
      </w:r>
      <w:r>
        <w:rPr>
          <w:color w:val="C9211E"/>
        </w:rPr>
        <w:t>: Up to 10 years imprisonment if prosecuted by indictment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>Accessory After the Fact – Criminal Code s.23:</w:t>
      </w:r>
      <w:r>
        <w:rPr/>
        <w:t xml:space="preserve"> </w:t>
      </w:r>
      <w:r>
        <w:rPr>
          <w:b w:val="false"/>
          <w:bCs w:val="false"/>
        </w:rPr>
        <w:t xml:space="preserve">individuals assisting a </w:t>
      </w:r>
      <w:r>
        <w:rPr>
          <w:b w:val="false"/>
          <w:bCs w:val="false"/>
        </w:rPr>
        <w:t xml:space="preserve">criminal avoid detection, arrest, or punishment </w:t>
      </w:r>
      <w:r>
        <w:rPr>
          <w:rStyle w:val="StrongEmphasis"/>
          <w:b w:val="false"/>
          <w:bCs w:val="false"/>
        </w:rPr>
        <w:t>after knowing the crime occurred</w:t>
      </w:r>
      <w:r>
        <w:rPr>
          <w:b w:val="false"/>
          <w:bCs w:val="false"/>
        </w:rPr>
        <w:t xml:space="preserve">, can, </w:t>
      </w:r>
      <w:r>
        <w:rPr>
          <w:b w:val="false"/>
          <w:bCs w:val="false"/>
        </w:rPr>
        <w:t>and will,</w:t>
      </w:r>
      <w:r>
        <w:rPr>
          <w:b w:val="false"/>
          <w:bCs w:val="false"/>
        </w:rPr>
        <w:t xml:space="preserve"> be charged as an accessory. Includ</w:t>
      </w:r>
      <w:r>
        <w:rPr>
          <w:b w:val="false"/>
          <w:bCs w:val="false"/>
        </w:rPr>
        <w:t>ing</w:t>
      </w:r>
      <w:r>
        <w:rPr>
          <w:b w:val="false"/>
          <w:bCs w:val="false"/>
        </w:rPr>
        <w:t xml:space="preserve"> </w:t>
      </w:r>
      <w:r>
        <w:rPr>
          <w:rStyle w:val="StrongEmphasis"/>
          <w:b w:val="false"/>
          <w:bCs w:val="false"/>
        </w:rPr>
        <w:t>destroying evidence</w:t>
      </w:r>
      <w:r>
        <w:rPr>
          <w:b w:val="false"/>
          <w:bCs w:val="false"/>
        </w:rPr>
        <w:t xml:space="preserve">, </w:t>
      </w:r>
      <w:r>
        <w:rPr>
          <w:rStyle w:val="StrongEmphasis"/>
          <w:b w:val="false"/>
          <w:bCs w:val="false"/>
        </w:rPr>
        <w:t>withholding information</w:t>
      </w:r>
      <w:r>
        <w:rPr>
          <w:b w:val="false"/>
          <w:bCs w:val="false"/>
        </w:rPr>
        <w:t xml:space="preserve">, or </w:t>
      </w:r>
      <w:r>
        <w:rPr>
          <w:rStyle w:val="StrongEmphasis"/>
          <w:b w:val="false"/>
          <w:bCs w:val="false"/>
        </w:rPr>
        <w:t xml:space="preserve">refusing to cooperate. </w:t>
      </w:r>
      <w:r>
        <w:rPr>
          <w:b w:val="false"/>
          <w:bCs w:val="false"/>
        </w:rPr>
        <w:t xml:space="preserve">Especially relevant for </w:t>
      </w:r>
      <w:r>
        <w:rPr>
          <w:rStyle w:val="StrongEmphasis"/>
          <w:b w:val="false"/>
          <w:bCs w:val="false"/>
        </w:rPr>
        <w:t>lawyers, agents, or regulators</w:t>
      </w:r>
      <w:r>
        <w:rPr>
          <w:b w:val="false"/>
          <w:bCs w:val="false"/>
        </w:rPr>
        <w:t xml:space="preserve"> who knowingly ignore </w:t>
      </w:r>
      <w:r>
        <w:rPr>
          <w:b w:val="false"/>
          <w:bCs w:val="false"/>
        </w:rPr>
        <w:t>crimes committed</w:t>
      </w:r>
      <w:r>
        <w:rPr>
          <w:b w:val="false"/>
          <w:bCs w:val="false"/>
        </w:rPr>
        <w:t>.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</w:t>
      </w:r>
      <w:r>
        <w:rPr>
          <w:rStyle w:val="StrongEmphasis"/>
          <w:color w:val="C9211E"/>
        </w:rPr>
        <w:t>enalty</w:t>
      </w:r>
      <w:r>
        <w:rPr>
          <w:color w:val="C9211E"/>
        </w:rPr>
        <w:t xml:space="preserve">: Up to </w:t>
      </w:r>
      <w:r>
        <w:rPr>
          <w:color w:val="C9211E"/>
        </w:rPr>
        <w:t>24</w:t>
      </w:r>
      <w:r>
        <w:rPr>
          <w:color w:val="C9211E"/>
        </w:rPr>
        <w:t xml:space="preserve"> years imprisonment if prosecuted </w:t>
      </w:r>
      <w:r>
        <w:rPr>
          <w:color w:val="C9211E"/>
        </w:rPr>
        <w:t>(same as primary offence)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</w:rPr>
        <w:t xml:space="preserve">Counselling or Aiding an Offence </w:t>
      </w:r>
      <w:r>
        <w:rPr>
          <w:rStyle w:val="StrongEmphasis"/>
        </w:rPr>
        <w:t>s.22</w:t>
      </w:r>
      <w:r>
        <w:rPr>
          <w:rStyle w:val="StrongEmphasis"/>
        </w:rPr>
        <w:t>:</w:t>
      </w:r>
      <w:r>
        <w:rPr/>
        <w:t xml:space="preserve"> </w:t>
      </w:r>
      <w:r>
        <w:rPr>
          <w:b w:val="false"/>
          <w:bCs w:val="false"/>
        </w:rPr>
        <w:t xml:space="preserve">Knowlingly aware of </w:t>
      </w:r>
      <w:r>
        <w:rPr>
          <w:b w:val="false"/>
          <w:bCs w:val="false"/>
        </w:rPr>
        <w:t xml:space="preserve">a crime and </w:t>
      </w:r>
      <w:r>
        <w:rPr>
          <w:rStyle w:val="StrongEmphasis"/>
          <w:b w:val="false"/>
          <w:bCs w:val="false"/>
        </w:rPr>
        <w:t>encourages, solicits, or enables</w:t>
      </w:r>
      <w:r>
        <w:rPr>
          <w:b w:val="false"/>
          <w:bCs w:val="false"/>
        </w:rPr>
        <w:t xml:space="preserve"> it—even passively—</w:t>
      </w:r>
      <w:r>
        <w:rPr>
          <w:b w:val="false"/>
          <w:bCs w:val="false"/>
        </w:rPr>
        <w:t xml:space="preserve">will be brought up on </w:t>
      </w:r>
      <w:r>
        <w:rPr>
          <w:b w:val="false"/>
          <w:bCs w:val="false"/>
        </w:rPr>
        <w:t>charge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 xml:space="preserve"> as a party to the offence. Includes </w:t>
      </w:r>
      <w:r>
        <w:rPr>
          <w:rStyle w:val="StrongEmphasis"/>
          <w:b w:val="false"/>
          <w:bCs w:val="false"/>
        </w:rPr>
        <w:t>failure to report</w:t>
      </w:r>
      <w:r>
        <w:rPr>
          <w:b w:val="false"/>
          <w:bCs w:val="false"/>
        </w:rPr>
        <w:t xml:space="preserve"> when the person is in a position of authority or influence. Applies if they </w:t>
      </w:r>
      <w:r>
        <w:rPr>
          <w:rStyle w:val="StrongEmphasis"/>
          <w:b w:val="false"/>
          <w:bCs w:val="false"/>
        </w:rPr>
        <w:t>benefit from the crime</w:t>
      </w:r>
      <w:r>
        <w:rPr>
          <w:b w:val="false"/>
          <w:bCs w:val="false"/>
        </w:rPr>
        <w:t xml:space="preserve">, or </w:t>
      </w:r>
      <w:r>
        <w:rPr>
          <w:rStyle w:val="StrongEmphasis"/>
          <w:b w:val="false"/>
          <w:bCs w:val="false"/>
        </w:rPr>
        <w:t xml:space="preserve">help conceal it. </w:t>
      </w:r>
      <w:r>
        <w:rPr>
          <w:b w:val="false"/>
          <w:bCs w:val="false"/>
        </w:rPr>
        <w:t xml:space="preserve">“Counselling” </w:t>
      </w:r>
      <w:r>
        <w:rPr>
          <w:b w:val="false"/>
          <w:bCs w:val="false"/>
        </w:rPr>
        <w:t xml:space="preserve">of said crimes </w:t>
      </w:r>
      <w:r>
        <w:rPr>
          <w:b w:val="false"/>
          <w:bCs w:val="false"/>
        </w:rPr>
        <w:t xml:space="preserve">include </w:t>
      </w:r>
      <w:r>
        <w:rPr>
          <w:rStyle w:val="StrongEmphasis"/>
          <w:b w:val="false"/>
          <w:bCs w:val="false"/>
        </w:rPr>
        <w:t>procurement, incitement, or silent facilitation.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</w:t>
      </w:r>
      <w:r>
        <w:rPr>
          <w:rStyle w:val="StrongEmphasis"/>
          <w:color w:val="C9211E"/>
        </w:rPr>
        <w:t>enalty</w:t>
      </w:r>
      <w:r>
        <w:rPr>
          <w:color w:val="C9211E"/>
        </w:rPr>
        <w:t xml:space="preserve">: Up to </w:t>
      </w:r>
      <w:r>
        <w:rPr>
          <w:color w:val="C9211E"/>
        </w:rPr>
        <w:t>24</w:t>
      </w:r>
      <w:r>
        <w:rPr>
          <w:color w:val="C9211E"/>
        </w:rPr>
        <w:t xml:space="preserve"> years imprisonment if prosecuted </w:t>
      </w:r>
      <w:r>
        <w:rPr>
          <w:color w:val="C9211E"/>
        </w:rPr>
        <w:t>(same as primary offence)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trongEmphasis"/>
          <w:b/>
          <w:bCs/>
        </w:rPr>
        <w:t xml:space="preserve">Civil Breach: Tort of Deceit &amp; Breach of Fiduciary Duty </w:t>
      </w:r>
      <w:r>
        <w:rPr>
          <w:rStyle w:val="StrongEmphasis"/>
          <w:b/>
          <w:bCs/>
        </w:rPr>
        <w:t>based on outcome</w:t>
      </w:r>
      <w:r>
        <w:rPr>
          <w:rStyle w:val="StrongEmphasis"/>
          <w:b/>
          <w:bCs/>
        </w:rPr>
        <w:t>:</w:t>
      </w:r>
      <w:r>
        <w:rPr>
          <w:rStyle w:val="StrongEmphasis"/>
          <w:b w:val="false"/>
          <w:bCs w:val="false"/>
        </w:rPr>
        <w:t xml:space="preserve"> Intentional misrepresentation causing harm</w:t>
      </w:r>
    </w:p>
    <w:p>
      <w:pPr>
        <w:pStyle w:val="TextBody"/>
        <w:bidi w:val="0"/>
        <w:jc w:val="left"/>
        <w:rPr/>
      </w:pPr>
      <w:r>
        <w:rPr>
          <w:rStyle w:val="StrongEmphasis"/>
          <w:color w:val="C9211E"/>
        </w:rPr>
        <w:t>Penalty</w:t>
      </w:r>
      <w:r>
        <w:rPr>
          <w:rStyle w:val="StrongEmphasis"/>
          <w:b w:val="false"/>
          <w:bCs w:val="false"/>
          <w:color w:val="C9211E"/>
        </w:rPr>
        <w:t xml:space="preserve">: </w:t>
      </w:r>
      <w:r>
        <w:rPr>
          <w:rStyle w:val="StrongEmphasis"/>
          <w:b w:val="false"/>
          <w:bCs w:val="false"/>
          <w:color w:val="C9211E"/>
        </w:rPr>
        <w:t xml:space="preserve">Monetary </w:t>
      </w:r>
      <w:r>
        <w:rPr>
          <w:color w:val="C9211E"/>
        </w:rPr>
        <w:t xml:space="preserve">Damages, Injunctions, </w:t>
      </w:r>
      <w:r>
        <w:rPr>
          <w:rStyle w:val="StrongEmphasis"/>
          <w:b w:val="false"/>
          <w:bCs w:val="false"/>
          <w:color w:val="C9211E"/>
        </w:rPr>
        <w:t>Rescission</w:t>
      </w:r>
    </w:p>
    <w:p>
      <w:pPr>
        <w:pStyle w:val="TextBody"/>
        <w:bidi w:val="0"/>
        <w:jc w:val="left"/>
        <w:rPr>
          <w:color w:val="C9211E"/>
        </w:rPr>
      </w:pPr>
      <w:r>
        <w:rPr>
          <w:color w:val="C9211E"/>
        </w:rPr>
      </w:r>
    </w:p>
    <w:p>
      <w:pPr>
        <w:pStyle w:val="Heading3"/>
        <w:bidi w:val="0"/>
        <w:jc w:val="left"/>
        <w:rPr/>
      </w:pPr>
      <w:r>
        <w:rPr>
          <w:rStyle w:val="StrongEmphasis"/>
          <w:b/>
        </w:rPr>
        <w:t>Public or Professional Duty to Report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L</w:t>
      </w:r>
      <w:r>
        <w:rPr/>
        <w:t xml:space="preserve">awyers, accountants, financial advisors, regulators have </w:t>
      </w:r>
      <w:r>
        <w:rPr>
          <w:rStyle w:val="StrongEmphasis"/>
        </w:rPr>
        <w:t>statutory obligations</w:t>
      </w:r>
      <w:r>
        <w:rPr/>
        <w:t xml:space="preserve"> to report fraud or misconduct: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Failure to report can trigger </w:t>
      </w:r>
      <w:r>
        <w:rPr>
          <w:rStyle w:val="StrongEmphasis"/>
        </w:rPr>
        <w:t>disciplinary action</w:t>
      </w:r>
      <w:r>
        <w:rPr/>
        <w:t xml:space="preserve">, </w:t>
      </w:r>
      <w:r>
        <w:rPr>
          <w:rStyle w:val="StrongEmphasis"/>
        </w:rPr>
        <w:t>civil liability</w:t>
      </w:r>
      <w:r>
        <w:rPr/>
        <w:t xml:space="preserve">, or </w:t>
      </w:r>
      <w:r>
        <w:rPr>
          <w:rStyle w:val="StrongEmphasis"/>
        </w:rPr>
        <w:t>loss of license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Under provincial laws (e.g., Ontario Securities Act), </w:t>
      </w:r>
      <w:r>
        <w:rPr>
          <w:rStyle w:val="StrongEmphasis"/>
        </w:rPr>
        <w:t>willful blindness</w:t>
      </w:r>
      <w:r>
        <w:rPr/>
        <w:t xml:space="preserve"> is treated as complicity</w:t>
      </w:r>
    </w:p>
    <w:p>
      <w:pPr>
        <w:pStyle w:val="TextBody"/>
        <w:bidi w:val="0"/>
        <w:jc w:val="left"/>
        <w:rPr/>
      </w:pPr>
      <w:r>
        <w:rPr/>
        <w:t xml:space="preserve">The trust, </w:t>
      </w:r>
      <w:r>
        <w:rPr/>
        <w:t xml:space="preserve">or privately offshore structure, </w:t>
      </w:r>
      <w:r>
        <w:rPr/>
        <w:t xml:space="preserve">unknown </w:t>
      </w:r>
      <w:r>
        <w:rPr/>
        <w:t xml:space="preserve">financial, asset or </w:t>
      </w:r>
      <w:r>
        <w:rPr/>
        <w:t xml:space="preserve">investment </w:t>
      </w:r>
      <w:r>
        <w:rPr/>
        <w:t>vehicle</w:t>
      </w:r>
      <w:r>
        <w:rPr/>
        <w:t xml:space="preserve"> in question was not formed under Canadian law, nor was it subject to proper residency or beneficial ownership verification. Its use to legitimize unregistered securities constitutes a cross-jurisdictional laundering of consent.</w:t>
      </w:r>
    </w:p>
    <w:p>
      <w:pPr>
        <w:pStyle w:val="Heading2"/>
        <w:bidi w:val="0"/>
        <w:jc w:val="left"/>
        <w:rPr/>
      </w:pPr>
      <w:r>
        <w:rPr/>
        <w:t>Sovereign Evidence Statement</w:t>
      </w:r>
    </w:p>
    <w:p>
      <w:pPr>
        <w:pStyle w:val="TextBody"/>
        <w:bidi w:val="0"/>
        <w:jc w:val="left"/>
        <w:rPr/>
      </w:pPr>
      <w:r>
        <w:rPr/>
        <w:t xml:space="preserve">The </w:t>
      </w:r>
      <w:r>
        <w:rPr/>
        <w:t>underwritten</w:t>
      </w:r>
      <w:r>
        <w:rPr/>
        <w:t xml:space="preserve"> </w:t>
      </w:r>
      <w:r>
        <w:rPr/>
        <w:t xml:space="preserve">affirms possession of physical evidence confirming forgery, </w:t>
      </w:r>
      <w:r>
        <w:rPr/>
        <w:t xml:space="preserve">and group chats, </w:t>
      </w:r>
      <w:r>
        <w:rPr/>
        <w:t xml:space="preserve">withheld for sovereign and strategic reasons. The existence of such evidence renders </w:t>
      </w:r>
      <w:r>
        <w:rPr/>
        <w:t>associated parties in said trust or private structure</w:t>
      </w:r>
      <w:r>
        <w:rPr/>
        <w:t xml:space="preserve"> not only negligent but potentially complicit in legitimizing unregistered securities through fraudulent offshore instruments.</w:t>
      </w:r>
    </w:p>
    <w:p>
      <w:pPr>
        <w:pStyle w:val="TextBody"/>
        <w:bidi w:val="0"/>
        <w:jc w:val="left"/>
        <w:rPr/>
      </w:pPr>
      <w:r>
        <w:rPr/>
        <w:t xml:space="preserve">The </w:t>
      </w:r>
      <w:r>
        <w:rPr/>
        <w:t xml:space="preserve">underwritten </w:t>
      </w:r>
      <w:r>
        <w:rPr/>
        <w:t>asserts that the Rule of Law has been systematically undermined through the use of opaque Trust structures, forged documentation, and jurisdictional evasion. These mechanisms constitute a deliberate inversion of legal principles, transforming protective frameworks into tools of deception.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 xml:space="preserve">Request for </w:t>
      </w:r>
      <w:r>
        <w:rPr/>
        <w:t xml:space="preserve">Complete </w:t>
      </w:r>
      <w:r>
        <w:rPr/>
        <w:t>Re</w:t>
      </w:r>
      <w:r>
        <w:rPr/>
        <w:t xml:space="preserve">lease </w:t>
      </w:r>
      <w:r>
        <w:rPr/>
        <w:t>of</w:t>
      </w:r>
      <w:r>
        <w:rPr/>
        <w:t xml:space="preserve"> a</w:t>
      </w:r>
      <w:r>
        <w:rPr/>
        <w:t xml:space="preserve">ll </w:t>
      </w:r>
      <w:r>
        <w:rPr>
          <w:rFonts w:eastAsia="NSimSun" w:cs="Lucida Sans"/>
          <w:b/>
          <w:bCs/>
          <w:sz w:val="36"/>
          <w:szCs w:val="36"/>
        </w:rPr>
        <w:t>D</w:t>
      </w:r>
      <w:r>
        <w:rPr/>
        <w:t xml:space="preserve">ocuments </w:t>
      </w:r>
      <w:r>
        <w:rPr/>
        <w:t xml:space="preserve">involving undersigned in association with </w:t>
      </w:r>
      <w:r>
        <w:rPr>
          <w:rFonts w:eastAsia="NSimSun" w:cs="Lucida Sans"/>
          <w:b/>
          <w:bCs/>
          <w:color w:val="C9211E"/>
          <w:sz w:val="36"/>
          <w:szCs w:val="36"/>
        </w:rPr>
        <w:t>[company name here]</w:t>
      </w:r>
      <w:r>
        <w:rPr/>
        <w:t xml:space="preserve">, </w:t>
      </w:r>
      <w:r>
        <w:rPr>
          <w:rFonts w:eastAsia="NSimSun" w:cs="Lucida Sans"/>
          <w:b/>
          <w:bCs/>
          <w:sz w:val="36"/>
          <w:szCs w:val="36"/>
        </w:rPr>
        <w:t>including</w:t>
      </w:r>
      <w:r>
        <w:rPr/>
        <w:t xml:space="preserve"> </w:t>
      </w:r>
      <w:r>
        <w:rPr/>
        <w:t xml:space="preserve">any other </w:t>
      </w:r>
      <w:r>
        <w:rPr/>
        <w:t xml:space="preserve">trusts, assigns, affiliates, </w:t>
      </w:r>
      <w:r>
        <w:rPr/>
        <w:t>Financial Instrument</w:t>
      </w:r>
      <w:r>
        <w:rPr/>
        <w:t xml:space="preserve">s, </w:t>
      </w:r>
      <w:r>
        <w:rPr/>
        <w:t>Asset Vehicle</w:t>
      </w:r>
      <w:r>
        <w:rPr/>
        <w:t>s</w:t>
      </w:r>
      <w:r>
        <w:rPr/>
        <w:t>, Investment Vehicle</w:t>
      </w:r>
      <w:r>
        <w:rPr/>
        <w:t xml:space="preserve">s, </w:t>
      </w:r>
      <w:r>
        <w:rPr/>
        <w:t>Special Purpose Vehicle</w:t>
      </w:r>
      <w:r>
        <w:rPr/>
        <w:t>s,</w:t>
      </w:r>
      <w:r>
        <w:rPr/>
        <w:t xml:space="preserve"> </w:t>
      </w:r>
      <w:r>
        <w:rPr/>
        <w:t>Trust Instrument</w:t>
      </w:r>
      <w:r>
        <w:rPr/>
        <w:t>s, Securities,</w:t>
      </w:r>
      <w:r>
        <w:rPr/>
        <w:t xml:space="preserve"> </w:t>
      </w:r>
      <w:r>
        <w:rPr/>
        <w:t>or entities</w:t>
      </w:r>
      <w:r>
        <w:rPr/>
        <w:t xml:space="preserve"> in regards to assets or material holding involving </w:t>
      </w:r>
      <w:r>
        <w:rPr>
          <w:rFonts w:eastAsia="NSimSun" w:cs="Lucida Sans"/>
          <w:b/>
          <w:bCs/>
          <w:sz w:val="36"/>
          <w:szCs w:val="36"/>
        </w:rPr>
        <w:t>the underwritten.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The Plaintiff formally requests that </w:t>
      </w:r>
      <w:r>
        <w:rPr/>
        <w:t>all parties</w:t>
      </w:r>
      <w:r>
        <w:rPr/>
        <w:t>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IMMEDIATELY INFORM, </w:t>
      </w:r>
      <w:r>
        <w:rPr/>
        <w:t>underwritten</w:t>
      </w:r>
      <w:r>
        <w:rPr/>
        <w:t>, t</w:t>
      </w:r>
      <w:r>
        <w:rPr/>
        <w:t>hrough</w:t>
      </w:r>
      <w:r>
        <w:rPr/>
        <w:t xml:space="preserve"> response email, registered </w:t>
      </w:r>
      <w:r>
        <w:rPr/>
        <w:t xml:space="preserve">email to </w:t>
      </w:r>
      <w:r>
        <w:rPr/>
        <w:t>this email address</w:t>
      </w:r>
      <w:r>
        <w:rPr/>
        <w:t xml:space="preserve">, as well as </w:t>
      </w:r>
      <w:r>
        <w:rPr/>
        <w:t xml:space="preserve">any information </w:t>
      </w:r>
      <w:r>
        <w:rPr/>
        <w:t>of th</w:t>
      </w:r>
      <w:r>
        <w:rPr/>
        <w:t xml:space="preserve">e mentioned </w:t>
      </w:r>
      <w:r>
        <w:rPr/>
        <w:t xml:space="preserve">trust instrument and its role in legitimizing securities. </w:t>
      </w:r>
      <w:r>
        <w:rPr/>
        <w:t xml:space="preserve">This includes </w:t>
      </w:r>
      <w:r>
        <w:rPr/>
        <w:t>t</w:t>
      </w:r>
      <w:r>
        <w:rPr/>
        <w:t xml:space="preserve">rusts, assigns, affiliates, </w:t>
      </w:r>
      <w:r>
        <w:rPr/>
        <w:t>Financial Instrument</w:t>
      </w:r>
      <w:r>
        <w:rPr/>
        <w:t xml:space="preserve">s, </w:t>
      </w:r>
      <w:r>
        <w:rPr/>
        <w:t>Asset Vehicle</w:t>
      </w:r>
      <w:r>
        <w:rPr/>
        <w:t>s</w:t>
      </w:r>
      <w:r>
        <w:rPr/>
        <w:t>, Investment Vehicle</w:t>
      </w:r>
      <w:r>
        <w:rPr/>
        <w:t xml:space="preserve">s, </w:t>
      </w:r>
      <w:r>
        <w:rPr/>
        <w:t>Special Purpose Vehicle</w:t>
      </w:r>
      <w:r>
        <w:rPr/>
        <w:t xml:space="preserve">s, </w:t>
      </w:r>
      <w:r>
        <w:rPr/>
        <w:t>Investment Vehicles, Trust Instrument</w:t>
      </w:r>
      <w:r>
        <w:rPr/>
        <w:t>s, Securities,</w:t>
      </w:r>
      <w:r>
        <w:rPr/>
        <w:t xml:space="preserve"> </w:t>
      </w:r>
      <w:r>
        <w:rPr/>
        <w:t xml:space="preserve">business’, corporations, structures, </w:t>
      </w:r>
      <w:r>
        <w:rPr/>
        <w:t>or entities</w:t>
      </w:r>
      <w:r>
        <w:rPr/>
        <w:t xml:space="preserve"> in regards to </w:t>
      </w:r>
      <w:r>
        <w:rPr/>
        <w:t>finances,</w:t>
      </w:r>
      <w:r>
        <w:rPr/>
        <w:t xml:space="preserve"> assets or material holding involvin</w:t>
      </w:r>
      <w:r>
        <w:rPr/>
        <w:t>g the underwritten.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Provide written justification for </w:t>
      </w:r>
      <w:r>
        <w:rPr/>
        <w:t xml:space="preserve">any and all material, legal, and suggested dealings and assets involving </w:t>
      </w:r>
      <w:r>
        <w:rPr/>
        <w:t>the underwrttten</w:t>
      </w:r>
      <w:r>
        <w:rPr/>
        <w:t xml:space="preserve">, </w:t>
      </w:r>
      <w:r>
        <w:rPr/>
        <w:t>provided, and haven</w:t>
      </w:r>
      <w:r>
        <w:rPr/>
        <w:t xml:space="preserve"> being open without concent of the </w:t>
      </w:r>
      <w:r>
        <w:rPr/>
        <w:t xml:space="preserve">underwritten, </w:t>
      </w:r>
      <w:r>
        <w:rPr/>
        <w:t xml:space="preserve">including the basis for </w:t>
      </w:r>
      <w:r>
        <w:rPr/>
        <w:t xml:space="preserve">all associated dealings in </w:t>
      </w:r>
      <w:r>
        <w:rPr/>
        <w:t xml:space="preserve">said </w:t>
      </w:r>
      <w:r>
        <w:rPr/>
        <w:t xml:space="preserve">trust, </w:t>
      </w:r>
      <w:r>
        <w:rPr/>
        <w:t xml:space="preserve">private equity, </w:t>
      </w:r>
      <w:r>
        <w:rPr/>
        <w:t>material asset,</w:t>
      </w:r>
      <w:r>
        <w:rPr/>
        <w:t xml:space="preserve"> or otherwise </w:t>
      </w:r>
      <w:r>
        <w:rPr/>
        <w:t xml:space="preserve">in association with </w:t>
      </w:r>
      <w:r>
        <w:rPr>
          <w:color w:val="C9211E"/>
        </w:rPr>
        <w:t>[company name here]</w:t>
      </w:r>
      <w:r>
        <w:rPr/>
        <w:t xml:space="preserve"> its owners,  any associated entity to any of the owners of said organizations involving their associated dealings with the </w:t>
      </w:r>
      <w:r>
        <w:rPr/>
        <w:t>underwritten</w:t>
      </w:r>
      <w:r>
        <w:rPr/>
        <w:t>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Request for</w:t>
      </w:r>
      <w:r>
        <w:rPr/>
        <w:t xml:space="preserve"> Acknowledgement of a</w:t>
      </w:r>
      <w:r>
        <w:rPr/>
        <w:t xml:space="preserve">ny </w:t>
      </w:r>
      <w:r>
        <w:rPr>
          <w:rFonts w:eastAsia="NSimSun" w:cs="Lucida Sans"/>
          <w:b/>
          <w:bCs/>
          <w:sz w:val="36"/>
          <w:szCs w:val="36"/>
        </w:rPr>
        <w:t>M</w:t>
      </w:r>
      <w:r>
        <w:rPr/>
        <w:t xml:space="preserve">aterial </w:t>
      </w:r>
      <w:r>
        <w:rPr>
          <w:rFonts w:eastAsia="NSimSun" w:cs="Lucida Sans"/>
          <w:b/>
          <w:bCs/>
          <w:sz w:val="36"/>
          <w:szCs w:val="36"/>
        </w:rPr>
        <w:t>W</w:t>
      </w:r>
      <w:r>
        <w:rPr/>
        <w:t xml:space="preserve">itnesses, </w:t>
      </w:r>
      <w:r>
        <w:rPr/>
        <w:t xml:space="preserve">involving </w:t>
      </w:r>
      <w:r>
        <w:rPr/>
        <w:t>a</w:t>
      </w:r>
      <w:r>
        <w:rPr>
          <w:rFonts w:eastAsia="NSimSun" w:cs="Lucida Sans"/>
          <w:b/>
          <w:bCs/>
          <w:sz w:val="36"/>
          <w:szCs w:val="36"/>
        </w:rPr>
        <w:t>ny</w:t>
      </w:r>
      <w:r>
        <w:rPr/>
        <w:t xml:space="preserve"> </w:t>
      </w:r>
      <w:r>
        <w:rPr>
          <w:rFonts w:eastAsia="NSimSun" w:cs="Lucida Sans"/>
          <w:b/>
          <w:bCs/>
          <w:sz w:val="36"/>
          <w:szCs w:val="36"/>
        </w:rPr>
        <w:t>a</w:t>
      </w:r>
      <w:r>
        <w:rPr/>
        <w:t xml:space="preserve">ssociated </w:t>
      </w:r>
      <w:r>
        <w:rPr>
          <w:rFonts w:eastAsia="NSimSun" w:cs="Lucida Sans"/>
          <w:b/>
          <w:bCs/>
          <w:sz w:val="36"/>
          <w:szCs w:val="36"/>
        </w:rPr>
        <w:t>d</w:t>
      </w:r>
      <w:r>
        <w:rPr/>
        <w:t xml:space="preserve">ocuments </w:t>
      </w:r>
      <w:r>
        <w:rPr/>
        <w:t>or information</w:t>
      </w:r>
      <w:r>
        <w:rPr/>
        <w:t>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The Plaintiff formally requests that </w:t>
      </w:r>
      <w:r>
        <w:rPr/>
        <w:t>all parties</w:t>
      </w:r>
      <w:r>
        <w:rPr/>
        <w:t>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IMMEDIATELY INFORM, </w:t>
      </w:r>
      <w:r>
        <w:rPr/>
        <w:t>underwritten</w:t>
      </w:r>
      <w:r>
        <w:rPr/>
        <w:t>, t</w:t>
      </w:r>
      <w:r>
        <w:rPr/>
        <w:t>hrough</w:t>
      </w:r>
      <w:r>
        <w:rPr/>
        <w:t xml:space="preserve"> response email, </w:t>
      </w:r>
      <w:r>
        <w:rPr/>
        <w:t xml:space="preserve">with </w:t>
      </w:r>
      <w:r>
        <w:rPr/>
        <w:t>confirm</w:t>
      </w:r>
      <w:r>
        <w:rPr/>
        <w:t>ed</w:t>
      </w:r>
      <w:r>
        <w:rPr/>
        <w:t xml:space="preserve"> </w:t>
      </w:r>
      <w:r>
        <w:rPr/>
        <w:t xml:space="preserve">delivery </w:t>
      </w:r>
      <w:r>
        <w:rPr/>
        <w:t>with response. Please provide</w:t>
      </w:r>
      <w:r>
        <w:rPr/>
        <w:t xml:space="preserve"> </w:t>
      </w:r>
      <w:r>
        <w:rPr/>
        <w:t xml:space="preserve">any information regarding </w:t>
      </w:r>
      <w:r>
        <w:rPr/>
        <w:t xml:space="preserve">evidence of </w:t>
      </w:r>
      <w:r>
        <w:rPr/>
        <w:t xml:space="preserve">any material, legal, or suggested dealings, </w:t>
      </w:r>
      <w:r>
        <w:rPr/>
        <w:t>financials,</w:t>
      </w:r>
      <w:r>
        <w:rPr/>
        <w:t xml:space="preserve"> or assets involving </w:t>
      </w:r>
      <w:r>
        <w:rPr/>
        <w:t>underwritten</w:t>
      </w:r>
      <w:r>
        <w:rPr/>
        <w:t xml:space="preserve"> </w:t>
      </w:r>
      <w:r>
        <w:rPr/>
        <w:t xml:space="preserve">in association with </w:t>
      </w:r>
      <w:r>
        <w:rPr>
          <w:color w:val="C9211E"/>
        </w:rPr>
        <w:t>[company names here]</w:t>
      </w:r>
      <w:r>
        <w:rPr/>
        <w:t>, its owners, associations, or otherwise</w:t>
      </w:r>
      <w:r>
        <w:rPr>
          <w:u w:val="single"/>
        </w:rPr>
        <w:t>.</w:t>
      </w:r>
      <w:r>
        <w:rPr>
          <w:u w:val="none"/>
        </w:rPr>
        <w:t xml:space="preserve"> </w:t>
      </w:r>
      <w:r>
        <w:rPr>
          <w:u w:val="none"/>
        </w:rPr>
        <w:t>This includes any</w:t>
      </w:r>
      <w:r>
        <w:rPr>
          <w:u w:val="none"/>
        </w:rPr>
        <w:t xml:space="preserve"> information of </w:t>
      </w:r>
      <w:r>
        <w:rPr>
          <w:u w:val="none"/>
        </w:rPr>
        <w:t>the underwritten</w:t>
      </w:r>
      <w:r>
        <w:rPr>
          <w:u w:val="none"/>
        </w:rPr>
        <w:t xml:space="preserve"> being involved in any structure, business dealing, asset management, trust, or otherwise involved with </w:t>
      </w:r>
      <w:r>
        <w:rPr>
          <w:color w:val="C9211E"/>
          <w:u w:val="none"/>
        </w:rPr>
        <w:t>[company names here]</w:t>
      </w:r>
      <w:r>
        <w:rPr>
          <w:u w:val="none"/>
        </w:rPr>
        <w:t xml:space="preserve">, its owners, associations, </w:t>
      </w:r>
      <w:r>
        <w:rPr>
          <w:u w:val="none"/>
        </w:rPr>
        <w:t>afflilitates or otherwise,</w:t>
      </w:r>
      <w:r>
        <w:rPr>
          <w:u w:val="none"/>
        </w:rPr>
        <w:t xml:space="preserve"> is formally requested by the Plaintiff, especially</w:t>
      </w:r>
      <w:r>
        <w:rPr/>
        <w:t xml:space="preserve"> information </w:t>
      </w:r>
      <w:r>
        <w:rPr/>
        <w:t>of th</w:t>
      </w:r>
      <w:r>
        <w:rPr/>
        <w:t xml:space="preserve">e mentioned </w:t>
      </w:r>
      <w:r>
        <w:rPr/>
        <w:t>trust instrument and its role in legitimizing securities.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Provide written justification for </w:t>
      </w:r>
      <w:r>
        <w:rPr/>
        <w:t xml:space="preserve">any and all material, legal, and suggested dealings and assets involving </w:t>
      </w:r>
      <w:r>
        <w:rPr/>
        <w:t>the underwritten</w:t>
      </w:r>
      <w:r>
        <w:rPr/>
        <w:t xml:space="preserve">, including </w:t>
      </w:r>
      <w:r>
        <w:rPr/>
        <w:t>Trust</w:t>
      </w:r>
      <w:r>
        <w:rPr/>
        <w:t>s</w:t>
      </w:r>
      <w:r>
        <w:rPr/>
        <w:t xml:space="preserve"> being open without concent of the </w:t>
      </w:r>
      <w:r>
        <w:rPr/>
        <w:t>underwritten</w:t>
      </w:r>
      <w:r>
        <w:rPr/>
        <w:t xml:space="preserve">, including the basis for </w:t>
      </w:r>
      <w:r>
        <w:rPr/>
        <w:t>all associated dealings</w:t>
      </w:r>
      <w:r>
        <w:rPr/>
        <w:t xml:space="preserve">, </w:t>
      </w:r>
      <w:r>
        <w:rPr/>
        <w:t xml:space="preserve">private equity, </w:t>
      </w:r>
      <w:r>
        <w:rPr/>
        <w:t>material asset,</w:t>
      </w:r>
      <w:r>
        <w:rPr/>
        <w:t xml:space="preserve"> or otherwise </w:t>
      </w:r>
      <w:r>
        <w:rPr/>
        <w:t xml:space="preserve">in association with </w:t>
      </w:r>
      <w:r>
        <w:rPr>
          <w:color w:val="C9211E"/>
          <w:u w:val="none"/>
        </w:rPr>
        <w:t>[company names here]</w:t>
      </w:r>
      <w:r>
        <w:rPr>
          <w:u w:val="none"/>
        </w:rPr>
        <w:t>,</w:t>
      </w:r>
      <w:r>
        <w:rPr/>
        <w:t xml:space="preserve"> its owners, or any associated entity, </w:t>
      </w:r>
      <w:r>
        <w:rPr/>
        <w:t>person, or affiliates,</w:t>
      </w:r>
      <w:r>
        <w:rPr/>
        <w:t xml:space="preserve"> to any of the owners of said organizations involving their dealings with the </w:t>
      </w:r>
      <w:r>
        <w:rPr/>
        <w:t>underwritten</w:t>
      </w:r>
      <w:r>
        <w:rPr/>
        <w:t>.</w:t>
      </w:r>
    </w:p>
    <w:p>
      <w:pPr>
        <w:pStyle w:val="Heading2"/>
        <w:numPr>
          <w:ilvl w:val="0"/>
          <w:numId w:val="0"/>
        </w:numPr>
        <w:bidi w:val="0"/>
        <w:ind w:left="0" w:hanging="0"/>
        <w:jc w:val="left"/>
        <w:rPr/>
      </w:pPr>
      <w:r>
        <w:rPr/>
        <w:t>Notice of Escalation</w:t>
      </w:r>
    </w:p>
    <w:p>
      <w:pPr>
        <w:pStyle w:val="TextBody"/>
        <w:bidi w:val="0"/>
        <w:jc w:val="left"/>
        <w:rPr/>
      </w:pPr>
      <w:r>
        <w:rPr/>
        <w:t xml:space="preserve">The undersigned further affirms that silence or dismissal in the face of documented forgery and regulatory breach will be treated as tacit endorsement of unlawful conduct, </w:t>
      </w:r>
      <w:r>
        <w:rPr/>
        <w:t>and will be tried as such,</w:t>
      </w:r>
      <w:r>
        <w:rPr/>
        <w:t xml:space="preserve"> </w:t>
      </w:r>
      <w:r>
        <w:rPr/>
        <w:t>may</w:t>
      </w:r>
      <w:r>
        <w:rPr/>
        <w:t xml:space="preserve"> trigger public disclosure, cross-agency escalation, and legal action. </w:t>
      </w:r>
    </w:p>
    <w:p>
      <w:pPr>
        <w:pStyle w:val="TextBody"/>
        <w:bidi w:val="0"/>
        <w:jc w:val="left"/>
        <w:rPr/>
      </w:pPr>
      <w:r>
        <w:rPr/>
        <w:t xml:space="preserve">The </w:t>
      </w:r>
      <w:r>
        <w:rPr/>
        <w:t>underwritten</w:t>
      </w:r>
      <w:r>
        <w:rPr/>
        <w:t xml:space="preserve"> asserts that </w:t>
      </w:r>
      <w:r>
        <w:rPr/>
        <w:t>individuals</w:t>
      </w:r>
      <w:r>
        <w:rPr/>
        <w:t xml:space="preserve"> engaged in </w:t>
      </w:r>
      <w:r>
        <w:rPr>
          <w:rStyle w:val="StrongEmphasis"/>
          <w:b w:val="false"/>
          <w:bCs w:val="false"/>
        </w:rPr>
        <w:t>constructive silence and strategic withholding</w:t>
      </w:r>
      <w:r>
        <w:rPr/>
        <w:t xml:space="preserve">, failing to acknowledge or deny material inquiries despite multiple documented outreach attempts </w:t>
      </w:r>
      <w:r>
        <w:rPr/>
        <w:t>is a</w:t>
      </w:r>
      <w:r>
        <w:rPr/>
        <w:t xml:space="preserve"> pattern of </w:t>
      </w:r>
      <w:r>
        <w:rPr>
          <w:rStyle w:val="StrongEmphasis"/>
          <w:b w:val="false"/>
          <w:bCs w:val="false"/>
        </w:rPr>
        <w:t>institutional evasion</w:t>
      </w:r>
      <w:r>
        <w:rPr/>
        <w:t xml:space="preserve"> </w:t>
      </w:r>
      <w:r>
        <w:rPr/>
        <w:t xml:space="preserve">and </w:t>
      </w:r>
      <w:r>
        <w:rPr/>
        <w:t xml:space="preserve">constitutes </w:t>
      </w:r>
      <w:r>
        <w:rPr>
          <w:rStyle w:val="StrongEmphasis"/>
          <w:b w:val="false"/>
          <w:bCs w:val="false"/>
        </w:rPr>
        <w:t>tacit non-disclosure</w:t>
      </w:r>
      <w:r>
        <w:rPr>
          <w:b w:val="false"/>
          <w:bCs w:val="false"/>
        </w:rPr>
        <w:t>,</w:t>
      </w:r>
      <w:r>
        <w:rPr/>
        <w:t xml:space="preserve"> and may be construed as deliberate obstruction under applicable law. </w:t>
      </w:r>
    </w:p>
    <w:p>
      <w:pPr>
        <w:pStyle w:val="TextBody"/>
        <w:bidi w:val="0"/>
        <w:jc w:val="left"/>
        <w:rPr/>
      </w:pPr>
      <w:r>
        <w:rPr/>
        <w:t xml:space="preserve">This notice, </w:t>
      </w:r>
      <w:r>
        <w:rPr/>
        <w:t>and non response,</w:t>
      </w:r>
      <w:r>
        <w:rPr/>
        <w:t xml:space="preserve"> may be published in the public domain as part of a broader campaign to expose systemic regulatory failures and institutional reliance on forged documentation. The </w:t>
      </w:r>
      <w:r>
        <w:rPr/>
        <w:t xml:space="preserve">underwritten </w:t>
      </w:r>
      <w:r>
        <w:rPr/>
        <w:t xml:space="preserve">reserves the right to amend this submission to include additional damages, regulatory breaches, and institutional actors should </w:t>
      </w:r>
      <w:r>
        <w:rPr/>
        <w:t xml:space="preserve">any party </w:t>
      </w:r>
      <w:r>
        <w:rPr/>
        <w:t>fail to respond or acknowledge its role.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Kind regards,</w:t>
      </w:r>
    </w:p>
    <w:p>
      <w:pPr>
        <w:pStyle w:val="TextBody"/>
        <w:bidi w:val="0"/>
        <w:jc w:val="left"/>
        <w:rPr/>
      </w:pPr>
      <w:r>
        <w:rPr/>
        <w:t xml:space="preserve">underwritten, </w:t>
      </w:r>
      <w:r>
        <w:rPr>
          <w:color w:val="C9211E"/>
        </w:rPr>
        <w:t>[your name here]</w:t>
      </w:r>
    </w:p>
    <w:p>
      <w:pPr>
        <w:pStyle w:val="TextBody"/>
        <w:bidi w:val="0"/>
        <w:spacing w:before="0" w:after="1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3518</TotalTime>
  <Application>LibreOffice/7.2.2.2$Windows_X86_64 LibreOffice_project/02b2acce88a210515b4a5bb2e46cbfb63fe97d56</Application>
  <AppVersion>15.0000</AppVersion>
  <Pages>5</Pages>
  <Words>1495</Words>
  <Characters>9078</Characters>
  <CharactersWithSpaces>10512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2025-09-30T01:38:26Z</dcterms:created>
  <dc:creator/>
  <dc:description/>
  <dc:language>en-US</dc:language>
  <cp:lastModifiedBy/>
  <dcterms:modified xsi:type="dcterms:W3CDTF">2025-10-03T15:34:49Z</dcterms:modified>
  <cp:revision>35</cp:revision>
  <dc:subject/>
  <dc:title/>
</cp:coreProperties>
</file>