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76" w:before="0" w:after="200"/>
        <w:jc w:val="left"/>
        <w:rPr>
          <w:lang w:val="en"/>
        </w:rPr>
      </w:pPr>
      <w:r>
        <w:rPr>
          <w:rFonts w:ascii="Calibri" w:hAnsi="Calibri"/>
          <w:sz w:val="22"/>
          <w:lang w:val="en"/>
        </w:rPr>
        <w:t>AMENDED STATEMENT OF CLAIM (EXCERPT)</w:t>
      </w:r>
    </w:p>
    <w:p>
      <w:pPr>
        <w:pStyle w:val="Normal"/>
        <w:bidi w:val="0"/>
        <w:spacing w:lineRule="auto" w:line="276" w:before="0" w:after="200"/>
        <w:jc w:val="left"/>
        <w:rPr>
          <w:lang w:val="en"/>
        </w:rPr>
      </w:pPr>
      <w:r>
        <w:rPr>
          <w:rFonts w:ascii="Calibri" w:hAnsi="Calibri"/>
          <w:sz w:val="22"/>
          <w:lang w:val="en"/>
        </w:rPr>
        <w:t>I. Parties</w:t>
      </w:r>
    </w:p>
    <w:p>
      <w:pPr>
        <w:pStyle w:val="Normal"/>
        <w:bidi w:val="0"/>
        <w:spacing w:lineRule="auto" w:line="276" w:before="0" w:after="200"/>
        <w:jc w:val="left"/>
        <w:rPr/>
      </w:pPr>
      <w:r>
        <w:rPr>
          <w:rFonts w:ascii="Calibri" w:hAnsi="Calibri"/>
          <w:sz w:val="22"/>
          <w:lang w:val="en"/>
        </w:rPr>
        <w:t xml:space="preserve">(1) The Plaintiff, </w:t>
      </w:r>
      <w:r>
        <w:rPr>
          <w:rFonts w:ascii="Calibri" w:hAnsi="Calibri"/>
          <w:sz w:val="22"/>
          <w:lang w:val="en"/>
        </w:rPr>
        <w:t xml:space="preserve">MARK </w:t>
      </w:r>
      <w:r>
        <w:rPr>
          <w:rFonts w:ascii="Calibri" w:hAnsi="Calibri"/>
          <w:sz w:val="22"/>
          <w:lang w:val="en"/>
        </w:rPr>
        <w:t xml:space="preserve">, is a private </w:t>
      </w:r>
      <w:r>
        <w:rPr>
          <w:rFonts w:ascii="Calibri" w:hAnsi="Calibri"/>
          <w:sz w:val="22"/>
          <w:lang w:val="en"/>
        </w:rPr>
        <w:t xml:space="preserve">investigating </w:t>
      </w:r>
      <w:r>
        <w:rPr>
          <w:rFonts w:ascii="Calibri" w:hAnsi="Calibri"/>
          <w:sz w:val="22"/>
          <w:lang w:val="en"/>
        </w:rPr>
        <w:t xml:space="preserve">entity </w:t>
      </w:r>
      <w:r>
        <w:rPr>
          <w:rFonts w:ascii="Calibri" w:hAnsi="Calibri"/>
          <w:sz w:val="22"/>
          <w:lang w:val="en"/>
        </w:rPr>
        <w:t xml:space="preserve">on behalf of MARK LEPORE </w:t>
      </w:r>
      <w:r>
        <w:rPr>
          <w:rFonts w:ascii="Calibri" w:hAnsi="Calibri"/>
          <w:sz w:val="22"/>
          <w:lang w:val="en"/>
        </w:rPr>
        <w:t xml:space="preserve">and the founder of </w:t>
      </w:r>
      <w:r>
        <w:rPr>
          <w:rFonts w:ascii="Calibri" w:hAnsi="Calibri"/>
          <w:sz w:val="22"/>
          <w:lang w:val="en"/>
        </w:rPr>
        <w:t>MISSION IGNITION SYSTEMS LTD.</w:t>
      </w:r>
      <w:r>
        <w:rPr>
          <w:rFonts w:ascii="Calibri" w:hAnsi="Calibri"/>
          <w:sz w:val="22"/>
          <w:lang w:val="en"/>
        </w:rPr>
        <w:t xml:space="preserve">, a </w:t>
      </w:r>
      <w:r>
        <w:rPr>
          <w:rFonts w:ascii="Calibri" w:hAnsi="Calibri"/>
          <w:sz w:val="22"/>
          <w:lang w:val="en"/>
        </w:rPr>
        <w:t>CORPORATION</w:t>
      </w:r>
      <w:r>
        <w:rPr>
          <w:rFonts w:ascii="Calibri" w:hAnsi="Calibri"/>
          <w:sz w:val="22"/>
          <w:lang w:val="en"/>
        </w:rPr>
        <w:t xml:space="preserve"> registered in Ontario, Canada.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"/>
        </w:rPr>
      </w:pPr>
      <w:r>
        <w:rPr>
          <w:rFonts w:ascii="Calibri" w:hAnsi="Calibri"/>
          <w:sz w:val="22"/>
          <w:lang w:val="en"/>
        </w:rPr>
      </w:r>
    </w:p>
    <w:p>
      <w:pPr>
        <w:pStyle w:val="Normal"/>
        <w:bidi w:val="0"/>
        <w:spacing w:lineRule="auto" w:line="276" w:before="0" w:after="200"/>
        <w:jc w:val="left"/>
        <w:rPr/>
      </w:pPr>
      <w:r>
        <w:rPr>
          <w:rFonts w:ascii="Calibri" w:hAnsi="Calibri"/>
          <w:sz w:val="22"/>
          <w:lang w:val="en"/>
        </w:rPr>
        <w:t xml:space="preserve">(2) The Defendant, </w:t>
      </w:r>
      <w:r>
        <w:rPr>
          <w:rFonts w:ascii="Calibri" w:hAnsi="Calibri"/>
          <w:sz w:val="22"/>
          <w:lang w:val="en"/>
        </w:rPr>
        <w:t>CRA</w:t>
      </w:r>
      <w:r>
        <w:rPr>
          <w:rFonts w:ascii="Calibri" w:hAnsi="Calibri"/>
          <w:sz w:val="22"/>
          <w:lang w:val="en"/>
        </w:rPr>
        <w:t xml:space="preserve"> (</w:t>
      </w:r>
      <w:r>
        <w:rPr>
          <w:rFonts w:ascii="Calibri" w:hAnsi="Calibri"/>
          <w:sz w:val="22"/>
          <w:lang w:val="en"/>
        </w:rPr>
        <w:t xml:space="preserve">CANADIAN REVENUE AGENCY </w:t>
      </w:r>
      <w:r>
        <w:rPr>
          <w:rFonts w:ascii="Calibri" w:hAnsi="Calibri"/>
          <w:sz w:val="22"/>
          <w:lang w:val="en"/>
        </w:rPr>
        <w:t>), is a federal regulatory body mandated to detect, prevent, and deter money laundering, terrorist financing, and financial misconduct.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"/>
        </w:rPr>
      </w:pPr>
      <w:r>
        <w:rPr>
          <w:rFonts w:ascii="Calibri" w:hAnsi="Calibri"/>
          <w:sz w:val="22"/>
          <w:lang w:val="en"/>
        </w:rPr>
      </w:r>
    </w:p>
    <w:p>
      <w:pPr>
        <w:pStyle w:val="Normal"/>
        <w:bidi w:val="0"/>
        <w:spacing w:lineRule="auto" w:line="276" w:before="0" w:after="200"/>
        <w:jc w:val="left"/>
        <w:rPr>
          <w:lang w:val="en"/>
        </w:rPr>
      </w:pPr>
      <w:r>
        <w:rPr>
          <w:rFonts w:ascii="Calibri" w:hAnsi="Calibri"/>
          <w:sz w:val="22"/>
          <w:lang w:val="en"/>
        </w:rPr>
        <w:t>II. Background and Facts</w:t>
      </w:r>
    </w:p>
    <w:p>
      <w:pPr>
        <w:pStyle w:val="Normal"/>
        <w:bidi w:val="0"/>
        <w:spacing w:lineRule="auto" w:line="276" w:before="0" w:after="200"/>
        <w:jc w:val="left"/>
        <w:rPr/>
      </w:pPr>
      <w:r>
        <w:rPr>
          <w:rFonts w:ascii="Calibri" w:hAnsi="Calibri"/>
          <w:sz w:val="22"/>
          <w:lang w:val="en"/>
        </w:rPr>
        <w:t xml:space="preserve">(3) The Plaintiff submitted </w:t>
      </w:r>
      <w:r>
        <w:rPr>
          <w:rFonts w:ascii="Calibri" w:hAnsi="Calibri"/>
          <w:sz w:val="22"/>
          <w:lang w:val="en"/>
        </w:rPr>
        <w:t>several</w:t>
      </w:r>
      <w:r>
        <w:rPr>
          <w:rFonts w:ascii="Calibri" w:hAnsi="Calibri"/>
          <w:sz w:val="22"/>
          <w:lang w:val="en"/>
        </w:rPr>
        <w:t xml:space="preserve"> reports to </w:t>
      </w:r>
      <w:r>
        <w:rPr>
          <w:rFonts w:ascii="Calibri" w:hAnsi="Calibri"/>
          <w:sz w:val="22"/>
          <w:lang w:val="en"/>
        </w:rPr>
        <w:t>CRA, OSC, FINTRAC, RCMP</w:t>
      </w:r>
      <w:r>
        <w:rPr>
          <w:rFonts w:ascii="Calibri" w:hAnsi="Calibri"/>
          <w:sz w:val="22"/>
          <w:lang w:val="en"/>
        </w:rPr>
        <w:t xml:space="preserve"> between 2023 and 2025, identifying fraudulent activity involving nominee-held shares, offshore trusts, and unregistered securities tied to entities including ECI </w:t>
      </w:r>
      <w:r>
        <w:rPr>
          <w:rFonts w:ascii="Calibri" w:hAnsi="Calibri"/>
          <w:sz w:val="22"/>
          <w:lang w:val="en"/>
        </w:rPr>
        <w:t>DEVELOPMENT, CAYE BANK, AND GEORGETOWN TRUST.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"/>
        </w:rPr>
      </w:pPr>
      <w:r>
        <w:rPr>
          <w:rFonts w:ascii="Calibri" w:hAnsi="Calibri"/>
          <w:sz w:val="22"/>
          <w:lang w:val="en"/>
        </w:rPr>
      </w:r>
    </w:p>
    <w:p>
      <w:pPr>
        <w:pStyle w:val="Normal"/>
        <w:bidi w:val="0"/>
        <w:spacing w:lineRule="auto" w:line="276" w:before="0" w:after="200"/>
        <w:jc w:val="left"/>
        <w:rPr>
          <w:lang w:val="en"/>
        </w:rPr>
      </w:pPr>
      <w:r>
        <w:rPr>
          <w:rFonts w:ascii="Calibri" w:hAnsi="Calibri"/>
          <w:sz w:val="22"/>
          <w:lang w:val="en"/>
        </w:rPr>
        <w:t>(4) These reports included court-verified evidence, signed instruments, and forensic documentation confirming systemic concealment and securities fraud.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"/>
        </w:rPr>
      </w:pPr>
      <w:r>
        <w:rPr>
          <w:rFonts w:ascii="Calibri" w:hAnsi="Calibri"/>
          <w:sz w:val="22"/>
          <w:lang w:val="en"/>
        </w:rPr>
      </w:r>
    </w:p>
    <w:p>
      <w:pPr>
        <w:pStyle w:val="Normal"/>
        <w:bidi w:val="0"/>
        <w:spacing w:lineRule="auto" w:line="276" w:before="0" w:after="200"/>
        <w:jc w:val="left"/>
        <w:rPr/>
      </w:pPr>
      <w:r>
        <w:rPr>
          <w:rFonts w:ascii="Calibri" w:hAnsi="Calibri"/>
          <w:sz w:val="22"/>
          <w:lang w:val="en"/>
        </w:rPr>
        <w:t xml:space="preserve">(5) </w:t>
      </w:r>
      <w:r>
        <w:rPr>
          <w:rFonts w:ascii="Calibri" w:hAnsi="Calibri"/>
          <w:sz w:val="22"/>
          <w:lang w:val="en"/>
        </w:rPr>
        <w:t>CRA</w:t>
      </w:r>
      <w:r>
        <w:rPr>
          <w:rFonts w:ascii="Calibri" w:hAnsi="Calibri"/>
          <w:sz w:val="22"/>
          <w:lang w:val="en"/>
        </w:rPr>
        <w:t xml:space="preserve"> responded with generic acknowledgments, redirect chains, and statements that it could not comment or follow up on voluntary information.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"/>
        </w:rPr>
      </w:pPr>
      <w:r>
        <w:rPr>
          <w:rFonts w:ascii="Calibri" w:hAnsi="Calibri"/>
          <w:sz w:val="22"/>
          <w:lang w:val="en"/>
        </w:rPr>
      </w:r>
    </w:p>
    <w:p>
      <w:pPr>
        <w:pStyle w:val="Normal"/>
        <w:bidi w:val="0"/>
        <w:spacing w:lineRule="auto" w:line="276" w:before="0" w:after="200"/>
        <w:jc w:val="left"/>
        <w:rPr/>
      </w:pPr>
      <w:r>
        <w:rPr>
          <w:rFonts w:ascii="Calibri" w:hAnsi="Calibri"/>
          <w:sz w:val="22"/>
          <w:lang w:val="en"/>
        </w:rPr>
        <w:t xml:space="preserve">(6) The Plaintiff requested direct contact information for FINTRAC, </w:t>
      </w:r>
      <w:r>
        <w:rPr>
          <w:rFonts w:ascii="Calibri" w:hAnsi="Calibri"/>
          <w:sz w:val="22"/>
          <w:lang w:val="en"/>
        </w:rPr>
        <w:t>OSC</w:t>
      </w:r>
      <w:r>
        <w:rPr>
          <w:rFonts w:ascii="Calibri" w:hAnsi="Calibri"/>
          <w:sz w:val="22"/>
          <w:lang w:val="en"/>
        </w:rPr>
        <w:t xml:space="preserve"> staff, including employee ID and supervisor details, and was denied access to this information.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"/>
        </w:rPr>
      </w:pPr>
      <w:r>
        <w:rPr>
          <w:rFonts w:ascii="Calibri" w:hAnsi="Calibri"/>
          <w:sz w:val="22"/>
          <w:lang w:val="en"/>
        </w:rPr>
      </w:r>
    </w:p>
    <w:p>
      <w:pPr>
        <w:pStyle w:val="Normal"/>
        <w:bidi w:val="0"/>
        <w:spacing w:lineRule="auto" w:line="276" w:before="0" w:after="200"/>
        <w:jc w:val="left"/>
        <w:rPr/>
      </w:pPr>
      <w:r>
        <w:rPr>
          <w:rFonts w:ascii="Calibri" w:hAnsi="Calibri"/>
          <w:sz w:val="22"/>
          <w:lang w:val="en"/>
        </w:rPr>
        <w:t xml:space="preserve">(7) In mid-2025, </w:t>
      </w:r>
      <w:r>
        <w:rPr>
          <w:rFonts w:ascii="Calibri" w:hAnsi="Calibri"/>
          <w:sz w:val="22"/>
          <w:lang w:val="en"/>
        </w:rPr>
        <w:t xml:space="preserve">CRA, RCMP, OSC, ATIP and </w:t>
      </w:r>
      <w:r>
        <w:rPr>
          <w:rFonts w:ascii="Calibri" w:hAnsi="Calibri"/>
          <w:sz w:val="22"/>
          <w:lang w:val="en"/>
        </w:rPr>
        <w:t>FINTRAC removed its public-facing digital portal</w:t>
      </w:r>
      <w:r>
        <w:rPr>
          <w:rFonts w:ascii="Calibri" w:hAnsi="Calibri"/>
          <w:sz w:val="22"/>
          <w:lang w:val="en"/>
        </w:rPr>
        <w:t>s</w:t>
      </w:r>
      <w:r>
        <w:rPr>
          <w:rFonts w:ascii="Calibri" w:hAnsi="Calibri"/>
          <w:sz w:val="22"/>
          <w:lang w:val="en"/>
        </w:rPr>
        <w:t xml:space="preserve"> for fraud reporting and replaced it with an institutional-only system requiring a registered Reporting Entity (RE) organization name, FINTRAC organization number, and sector classification.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"/>
        </w:rPr>
      </w:pPr>
      <w:r>
        <w:rPr>
          <w:rFonts w:ascii="Calibri" w:hAnsi="Calibri"/>
          <w:sz w:val="22"/>
          <w:lang w:val="en"/>
        </w:rPr>
      </w:r>
    </w:p>
    <w:p>
      <w:pPr>
        <w:pStyle w:val="Normal"/>
        <w:bidi w:val="0"/>
        <w:spacing w:lineRule="auto" w:line="276" w:before="0" w:after="200"/>
        <w:jc w:val="left"/>
        <w:rPr/>
      </w:pPr>
      <w:r>
        <w:rPr>
          <w:rFonts w:ascii="Calibri" w:hAnsi="Calibri"/>
          <w:sz w:val="22"/>
          <w:lang w:val="en"/>
        </w:rPr>
        <w:t xml:space="preserve">(8) This change obstructed public access to </w:t>
      </w:r>
      <w:r>
        <w:rPr>
          <w:rFonts w:ascii="Calibri" w:hAnsi="Calibri"/>
          <w:sz w:val="22"/>
          <w:lang w:val="en"/>
        </w:rPr>
        <w:t xml:space="preserve">CRA’s, OSC’s, RCMPs, or </w:t>
      </w:r>
      <w:r>
        <w:rPr>
          <w:rFonts w:ascii="Calibri" w:hAnsi="Calibri"/>
          <w:sz w:val="22"/>
          <w:lang w:val="en"/>
        </w:rPr>
        <w:t xml:space="preserve">FINTRAC’s reporting infrastructure and denied whistleblowers the ability to </w:t>
      </w:r>
      <w:r>
        <w:rPr>
          <w:rFonts w:ascii="Calibri" w:hAnsi="Calibri"/>
          <w:sz w:val="22"/>
          <w:lang w:val="en"/>
        </w:rPr>
        <w:t xml:space="preserve">request or </w:t>
      </w:r>
      <w:r>
        <w:rPr>
          <w:rFonts w:ascii="Calibri" w:hAnsi="Calibri"/>
          <w:sz w:val="22"/>
          <w:lang w:val="en"/>
        </w:rPr>
        <w:t>submit evidence through digital channels.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"/>
        </w:rPr>
      </w:pPr>
      <w:r>
        <w:rPr>
          <w:rFonts w:ascii="Calibri" w:hAnsi="Calibri"/>
          <w:sz w:val="22"/>
          <w:lang w:val="en"/>
        </w:rPr>
      </w:r>
    </w:p>
    <w:p>
      <w:pPr>
        <w:pStyle w:val="Normal"/>
        <w:bidi w:val="0"/>
        <w:spacing w:lineRule="auto" w:line="276" w:before="0" w:after="200"/>
        <w:jc w:val="left"/>
        <w:rPr/>
      </w:pPr>
      <w:r>
        <w:rPr>
          <w:rFonts w:ascii="Calibri" w:hAnsi="Calibri"/>
          <w:sz w:val="22"/>
          <w:lang w:val="en"/>
        </w:rPr>
        <w:t xml:space="preserve">(9) </w:t>
      </w:r>
      <w:r>
        <w:rPr>
          <w:rFonts w:ascii="Calibri" w:hAnsi="Calibri"/>
          <w:sz w:val="22"/>
          <w:lang w:val="en"/>
        </w:rPr>
        <w:t xml:space="preserve">CRA’s neglected to respond to submissions, </w:t>
      </w:r>
      <w:r>
        <w:rPr>
          <w:rFonts w:ascii="Calibri" w:hAnsi="Calibri"/>
          <w:sz w:val="22"/>
          <w:lang w:val="en"/>
        </w:rPr>
        <w:t xml:space="preserve">FINTRAC’s response stated that it could only receive voluntary information via fax or mail and could not follow up or comment on any submissions, creating a regulatory dead-end, </w:t>
      </w:r>
      <w:r>
        <w:rPr>
          <w:rFonts w:ascii="Calibri" w:hAnsi="Calibri"/>
          <w:sz w:val="22"/>
          <w:lang w:val="en"/>
        </w:rPr>
        <w:t>as do LECA, OMBUDSMAN, CRA, and OSC submissions.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"/>
        </w:rPr>
      </w:pPr>
      <w:r>
        <w:rPr>
          <w:rFonts w:ascii="Calibri" w:hAnsi="Calibri"/>
          <w:sz w:val="22"/>
          <w:lang w:val="en"/>
        </w:rPr>
      </w:r>
    </w:p>
    <w:p>
      <w:pPr>
        <w:pStyle w:val="Normal"/>
        <w:bidi w:val="0"/>
        <w:spacing w:lineRule="auto" w:line="276" w:before="0" w:after="200"/>
        <w:jc w:val="left"/>
        <w:rPr>
          <w:lang w:val="en"/>
        </w:rPr>
      </w:pPr>
      <w:r>
        <w:rPr>
          <w:rFonts w:ascii="Calibri" w:hAnsi="Calibri"/>
          <w:sz w:val="22"/>
          <w:lang w:val="en"/>
        </w:rPr>
        <w:t>(10) The Plaintiff asserts that these actions constitute regulatory negligence, constructive denial of access, and obstruction of whistleblower pathways.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"/>
        </w:rPr>
      </w:pPr>
      <w:r>
        <w:rPr>
          <w:rFonts w:ascii="Calibri" w:hAnsi="Calibri"/>
          <w:sz w:val="22"/>
          <w:lang w:val="en"/>
        </w:rPr>
      </w:r>
    </w:p>
    <w:p>
      <w:pPr>
        <w:pStyle w:val="Normal"/>
        <w:bidi w:val="0"/>
        <w:spacing w:lineRule="auto" w:line="276" w:before="0" w:after="200"/>
        <w:jc w:val="left"/>
        <w:rPr/>
      </w:pPr>
      <w:r>
        <w:rPr>
          <w:rFonts w:ascii="Calibri" w:hAnsi="Calibri"/>
          <w:sz w:val="22"/>
          <w:lang w:val="en"/>
        </w:rPr>
        <w:t xml:space="preserve">(11) The Plaintiff further asserts that </w:t>
      </w:r>
      <w:r>
        <w:rPr>
          <w:rFonts w:ascii="Calibri" w:hAnsi="Calibri"/>
          <w:sz w:val="22"/>
          <w:lang w:val="en"/>
        </w:rPr>
        <w:t>CRA</w:t>
      </w:r>
      <w:r>
        <w:rPr>
          <w:rFonts w:ascii="Calibri" w:hAnsi="Calibri"/>
          <w:sz w:val="22"/>
          <w:lang w:val="en"/>
        </w:rPr>
        <w:t>’s failure to investigate, enforce, or protect directly contributed to business harm, reputational injury, and emotional distress.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"/>
        </w:rPr>
      </w:pPr>
      <w:r>
        <w:rPr>
          <w:rFonts w:ascii="Calibri" w:hAnsi="Calibri"/>
          <w:sz w:val="22"/>
          <w:lang w:val="en"/>
        </w:rPr>
      </w:r>
    </w:p>
    <w:p>
      <w:pPr>
        <w:pStyle w:val="Normal"/>
        <w:bidi w:val="0"/>
        <w:spacing w:lineRule="auto" w:line="276" w:before="0" w:after="200"/>
        <w:jc w:val="left"/>
        <w:rPr>
          <w:lang w:val="en"/>
        </w:rPr>
      </w:pPr>
      <w:r>
        <w:rPr>
          <w:rFonts w:ascii="Calibri" w:hAnsi="Calibri"/>
          <w:sz w:val="22"/>
          <w:lang w:val="en"/>
        </w:rPr>
        <w:t>III. Causes of Action</w:t>
      </w:r>
    </w:p>
    <w:p>
      <w:pPr>
        <w:pStyle w:val="Normal"/>
        <w:bidi w:val="0"/>
        <w:spacing w:lineRule="auto" w:line="276" w:before="0" w:after="200"/>
        <w:jc w:val="left"/>
        <w:rPr>
          <w:lang w:val="en"/>
        </w:rPr>
      </w:pPr>
      <w:r>
        <w:rPr>
          <w:rFonts w:ascii="Calibri" w:hAnsi="Calibri"/>
          <w:sz w:val="22"/>
          <w:lang w:val="en"/>
        </w:rPr>
        <w:t>(12) Regulatory Negligence: The Defendant failed to investigate credible evidence of financial misconduct submitted by the Plaintiff, violating its statutory duty.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"/>
        </w:rPr>
      </w:pPr>
      <w:r>
        <w:rPr>
          <w:rFonts w:ascii="Calibri" w:hAnsi="Calibri"/>
          <w:sz w:val="22"/>
          <w:lang w:val="en"/>
        </w:rPr>
      </w:r>
    </w:p>
    <w:p>
      <w:pPr>
        <w:pStyle w:val="Normal"/>
        <w:bidi w:val="0"/>
        <w:spacing w:lineRule="auto" w:line="276" w:before="0" w:after="200"/>
        <w:jc w:val="left"/>
        <w:rPr>
          <w:lang w:val="en"/>
        </w:rPr>
      </w:pPr>
      <w:r>
        <w:rPr>
          <w:rFonts w:ascii="Calibri" w:hAnsi="Calibri"/>
          <w:sz w:val="22"/>
          <w:lang w:val="en"/>
        </w:rPr>
        <w:t>(13) Misfeasance in Public Office: The Defendant knowingly dismissed verified evidence and shielded fraudulent entities from scrutiny.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"/>
        </w:rPr>
      </w:pPr>
      <w:r>
        <w:rPr>
          <w:rFonts w:ascii="Calibri" w:hAnsi="Calibri"/>
          <w:sz w:val="22"/>
          <w:lang w:val="en"/>
        </w:rPr>
      </w:r>
    </w:p>
    <w:p>
      <w:pPr>
        <w:pStyle w:val="Normal"/>
        <w:bidi w:val="0"/>
        <w:spacing w:lineRule="auto" w:line="276" w:before="0" w:after="200"/>
        <w:jc w:val="left"/>
        <w:rPr/>
      </w:pPr>
      <w:r>
        <w:rPr>
          <w:rFonts w:ascii="Calibri" w:hAnsi="Calibri"/>
          <w:sz w:val="22"/>
          <w:lang w:val="en"/>
        </w:rPr>
        <w:t xml:space="preserve">(14) Uttering Forged Documents: The Defendant received and relied upon forged instruments tied to nominee-held shares and offshore trusts without initiating verification </w:t>
      </w:r>
      <w:r>
        <w:rPr>
          <w:rFonts w:ascii="Calibri" w:hAnsi="Calibri"/>
          <w:sz w:val="22"/>
          <w:lang w:val="en"/>
        </w:rPr>
        <w:t>as proven by 1104E and 1191E forms mailed to MARK LEPORE and MISSION IGNITION SYSTEMS LTD.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"/>
        </w:rPr>
      </w:pPr>
      <w:r>
        <w:rPr/>
      </w:r>
    </w:p>
    <w:p>
      <w:pPr>
        <w:pStyle w:val="Normal"/>
        <w:bidi w:val="0"/>
        <w:spacing w:lineRule="auto" w:line="276" w:before="0" w:after="200"/>
        <w:jc w:val="left"/>
        <w:rPr/>
      </w:pPr>
      <w:r>
        <w:rPr>
          <w:rFonts w:ascii="Calibri" w:hAnsi="Calibri"/>
          <w:sz w:val="22"/>
          <w:lang w:val="en"/>
        </w:rPr>
        <w:t>(15) Obstruction of Public Access: The Defendant removed public reporting infrastructure and refused to provide accountability contacts, violating principles of procedural fairness.</w:t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"/>
        </w:rPr>
      </w:pPr>
      <w:r>
        <w:rPr>
          <w:rFonts w:ascii="Calibri" w:hAnsi="Calibri"/>
          <w:sz w:val="22"/>
          <w:lang w:val="en"/>
        </w:rPr>
      </w:r>
    </w:p>
    <w:p>
      <w:pPr>
        <w:pStyle w:val="Normal"/>
        <w:bidi w:val="0"/>
        <w:spacing w:lineRule="auto" w:line="276" w:before="0" w:after="200"/>
        <w:jc w:val="left"/>
        <w:rPr>
          <w:rFonts w:ascii="Calibri" w:hAnsi="Calibri"/>
          <w:sz w:val="22"/>
          <w:lang w:val="en"/>
        </w:rPr>
      </w:pPr>
      <w:r>
        <w:rPr>
          <w:rFonts w:ascii="Calibri" w:hAnsi="Calibri"/>
          <w:sz w:val="22"/>
          <w:lang w:val="en"/>
        </w:rPr>
        <w:t>(16) Aiding and Abetting: The Defendant’s silence and inaction facilitated ongoing fraud and concealment.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C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CA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968</TotalTime>
  <Application>LibreOffice/6.4.1.2$Windows_X86_64 LibreOffice_project/4d224e95b98b138af42a64d84056446d09082932</Application>
  <Pages>2</Pages>
  <Words>431</Words>
  <Characters>2702</Characters>
  <CharactersWithSpaces>3113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dcterms:modified xsi:type="dcterms:W3CDTF">2025-12-14T12:24:00Z</dcterms:modified>
  <cp:revision>1</cp:revision>
  <dc:subject/>
  <dc:title/>
</cp:coreProperties>
</file>